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auto"/>
        <w:spacing w:before="156" w:beforeLines="50" w:after="312" w:afterLines="100"/>
        <w:jc w:val="center"/>
        <w:rPr>
          <w:color w:val="auto"/>
          <w:highlight w:val="none"/>
        </w:rPr>
      </w:pPr>
      <w:bookmarkStart w:id="1" w:name="_GoBack"/>
      <w:bookmarkEnd w:id="1"/>
      <w:r>
        <w:rPr>
          <w:rFonts w:hint="eastAsia" w:ascii="方正大标宋简体" w:eastAsia="方正大标宋简体"/>
          <w:color w:val="auto"/>
          <w:sz w:val="36"/>
          <w:szCs w:val="36"/>
          <w:highlight w:val="none"/>
          <w:lang w:eastAsia="zh-CN"/>
        </w:rPr>
        <w:t>示范区</w:t>
      </w:r>
      <w:r>
        <w:rPr>
          <w:rFonts w:hint="eastAsia" w:ascii="方正大标宋简体" w:eastAsia="方正大标宋简体"/>
          <w:color w:val="auto"/>
          <w:sz w:val="36"/>
          <w:szCs w:val="36"/>
          <w:highlight w:val="none"/>
          <w:lang w:val="en-US" w:eastAsia="zh-CN"/>
        </w:rPr>
        <w:t>1-5月</w:t>
      </w:r>
      <w:r>
        <w:rPr>
          <w:rFonts w:hint="eastAsia" w:ascii="方正大标宋简体" w:eastAsia="方正大标宋简体"/>
          <w:color w:val="auto"/>
          <w:sz w:val="36"/>
          <w:szCs w:val="36"/>
          <w:highlight w:val="none"/>
        </w:rPr>
        <w:t>经济运行简析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8" w:beforeAutospacing="0" w:after="0" w:afterAutospacing="0" w:line="375" w:lineRule="atLeast"/>
        <w:ind w:left="0" w:right="0" w:firstLine="420" w:firstLineChars="200"/>
        <w:jc w:val="left"/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  <w:t>5月份，全区上下统筹推进疫情防控和经济社会发展，复工复产加快推进</w:t>
      </w:r>
      <w:r>
        <w:rPr>
          <w:rFonts w:hint="default" w:ascii="宋体" w:hAnsi="宋体" w:cs="仿宋_GB2312"/>
          <w:color w:val="auto"/>
          <w:sz w:val="21"/>
          <w:szCs w:val="21"/>
          <w:highlight w:val="none"/>
          <w:lang w:val="en-US" w:eastAsia="zh-CN"/>
        </w:rPr>
        <w:t>，生产生活秩序</w:t>
      </w:r>
      <w:r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  <w:t>积极改善</w:t>
      </w:r>
      <w:r>
        <w:rPr>
          <w:rFonts w:hint="default" w:ascii="宋体" w:hAnsi="宋体" w:cs="仿宋_GB2312"/>
          <w:color w:val="auto"/>
          <w:sz w:val="21"/>
          <w:szCs w:val="21"/>
          <w:highlight w:val="none"/>
          <w:lang w:val="en-US" w:eastAsia="zh-CN"/>
        </w:rPr>
        <w:t>，经济运行</w:t>
      </w:r>
      <w:r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  <w:t>呈现持续</w:t>
      </w:r>
      <w:r>
        <w:rPr>
          <w:rFonts w:hint="default" w:ascii="宋体" w:hAnsi="宋体" w:cs="仿宋_GB2312"/>
          <w:color w:val="auto"/>
          <w:sz w:val="21"/>
          <w:szCs w:val="21"/>
          <w:highlight w:val="none"/>
          <w:lang w:val="en-US" w:eastAsia="zh-CN"/>
        </w:rPr>
        <w:t>恢复</w:t>
      </w:r>
      <w:r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  <w:t>的态势。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  <w:t>一、工业生产增速继续回升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  <w:t>5月份，示范区规上工业增加值增速同比增长7.5%，较4月份回升2.1个百分点。1-5月累计增长1.8%，高于全省平均增速2.4个百分点，居全省第2位。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  <w:t xml:space="preserve"> 分经济类型看，国有控股企业增加值同比下降3.3%，集体控股企业增长34.7%，股份制企业增长12.3%，外商及港澳台商投资企业下降34.1%。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  <w:t>分行业看，33个大类行业中有20个行业当月增加值实现正增长，增长面提高至60.6%，较4月份扩大18.2个百分点。</w:t>
      </w:r>
    </w:p>
    <w:p>
      <w:pPr>
        <w:shd w:val="clear" w:color="auto" w:fill="auto"/>
        <w:spacing w:line="520" w:lineRule="exact"/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shd w:val="clear" w:color="auto" w:fill="auto"/>
        </w:rPr>
        <w:t xml:space="preserve">  </w:t>
      </w:r>
      <w:r>
        <w:rPr>
          <w:rFonts w:hint="eastAsia" w:ascii="宋体" w:hAnsi="宋体" w:cs="仿宋_GB2312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二、固定资产投资降幅有所扩大</w:t>
      </w:r>
    </w:p>
    <w:p>
      <w:pPr>
        <w:shd w:val="clear" w:color="auto" w:fill="auto"/>
        <w:spacing w:line="520" w:lineRule="exact"/>
        <w:ind w:firstLine="420" w:firstLineChars="200"/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  <w:t>1-5月，示范区固定资产投资（不含农户）同比下降11.8%，降幅较1-4月扩大5.9个百分点，低于全省平均水平12.7个百分点。其中，</w:t>
      </w:r>
      <w:r>
        <w:rPr>
          <w:rFonts w:hint="eastAsia" w:ascii="宋体" w:hAnsi="宋体" w:cs="仿宋_GB2312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房地产投资完成5.9亿元，同比增长19.7%，</w:t>
      </w:r>
      <w:r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  <w:t>高于全省平均水平17个百分点，</w:t>
      </w:r>
      <w:r>
        <w:rPr>
          <w:rFonts w:hint="eastAsia" w:ascii="宋体" w:hAnsi="宋体" w:cs="仿宋_GB2312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居全省第1位。</w:t>
      </w:r>
      <w:r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  <w:t>商品房销售面积12.6万平方米，同比下降50.4%，居全省第18位。</w:t>
      </w:r>
    </w:p>
    <w:p>
      <w:pPr>
        <w:shd w:val="clear" w:color="auto" w:fill="auto"/>
        <w:spacing w:line="520" w:lineRule="exact"/>
        <w:ind w:firstLine="420" w:firstLineChars="200"/>
        <w:rPr>
          <w:rFonts w:hint="default" w:ascii="宋体" w:hAnsi="宋体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color w:val="auto"/>
          <w:kern w:val="2"/>
          <w:sz w:val="21"/>
          <w:szCs w:val="21"/>
          <w:highlight w:val="none"/>
          <w:lang w:val="en-US" w:eastAsia="zh-CN" w:bidi="ar-SA"/>
        </w:rPr>
        <w:t>分产业看，第一产业投资增长96.9%，第二产业投资下降20.5%，第三产业下降4.6%。</w:t>
      </w:r>
    </w:p>
    <w:p>
      <w:pPr>
        <w:numPr>
          <w:ilvl w:val="0"/>
          <w:numId w:val="0"/>
        </w:numPr>
        <w:shd w:val="clear" w:color="auto" w:fill="auto"/>
        <w:spacing w:line="520" w:lineRule="exact"/>
        <w:ind w:leftChars="200"/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  <w:t>三、消费市场逐步回暖</w:t>
      </w:r>
    </w:p>
    <w:p>
      <w:pPr>
        <w:widowControl/>
        <w:numPr>
          <w:ilvl w:val="0"/>
          <w:numId w:val="0"/>
        </w:numPr>
        <w:shd w:val="clear" w:color="auto" w:fill="auto"/>
        <w:spacing w:line="520" w:lineRule="exact"/>
        <w:ind w:firstLine="420" w:firstLineChars="200"/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  <w:t>1-5月，示范区社会消费品零售总额完成63.5亿元，下降12.6%，降幅较1-4月收窄4.1个百分点，居全省第6位。其中，5月份当月完成15.9亿元，同比增长2.1%，较1-4月回升3.7个百分点，居全省第8位。</w:t>
      </w:r>
    </w:p>
    <w:p>
      <w:pPr>
        <w:widowControl/>
        <w:numPr>
          <w:ilvl w:val="0"/>
          <w:numId w:val="11"/>
        </w:numPr>
        <w:shd w:val="clear" w:color="auto" w:fill="auto"/>
        <w:spacing w:line="520" w:lineRule="exact"/>
        <w:ind w:firstLine="480"/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  <w:t>财政收入略有好转</w:t>
      </w:r>
    </w:p>
    <w:p>
      <w:pPr>
        <w:widowControl/>
        <w:numPr>
          <w:ilvl w:val="0"/>
          <w:numId w:val="0"/>
        </w:numPr>
        <w:shd w:val="clear" w:color="auto" w:fill="auto"/>
        <w:spacing w:line="520" w:lineRule="exact"/>
        <w:ind w:firstLine="420" w:firstLineChars="200"/>
        <w:rPr>
          <w:rFonts w:hint="default" w:ascii="宋体" w:hAnsi="宋体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  <w:t>1-5月，示范区一般公共预算收入完成23.9亿元，增长0.4%，高于全省平均水平7.3个百分点，居全省第2位。其中，税收收入完成17.0亿元，下降9.6%，较4月底降幅收窄11个百分点，高于全省平均水平5.1个百分点。居全省第3位，比4月底提升7个位次。非税收入完成6.9亿元，增长37.7%，高于全省平均水平26.9个百分点，居全省第2位。</w:t>
      </w:r>
    </w:p>
    <w:p>
      <w:pPr>
        <w:widowControl/>
        <w:shd w:val="clear" w:color="auto" w:fill="auto"/>
        <w:spacing w:line="520" w:lineRule="exact"/>
        <w:ind w:firstLine="480"/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  <w:t>示范区一般公共预算支出39.5亿元，增长1.8%，高于全省平均水平1.9个百分点，居全省第8位。</w:t>
      </w:r>
    </w:p>
    <w:p>
      <w:pPr>
        <w:widowControl/>
        <w:shd w:val="clear" w:color="auto" w:fill="auto"/>
        <w:spacing w:line="520" w:lineRule="exact"/>
        <w:ind w:firstLine="480"/>
        <w:rPr>
          <w:rFonts w:hint="default" w:ascii="宋体" w:hAnsi="宋体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  <w:t>5月末，金融机构人民币各项存款余额568.2亿元，增长10.4%，居全省第11位；金融机构人民币各项贷款余额359.2亿元，增长14.0%，居全省第13位。</w:t>
      </w:r>
    </w:p>
    <w:p>
      <w:pPr>
        <w:widowControl/>
        <w:numPr>
          <w:ilvl w:val="0"/>
          <w:numId w:val="11"/>
        </w:numPr>
        <w:shd w:val="clear" w:color="auto" w:fill="auto"/>
        <w:spacing w:line="520" w:lineRule="exact"/>
        <w:ind w:left="0" w:leftChars="0" w:firstLine="480" w:firstLineChars="0"/>
        <w:rPr>
          <w:color w:val="auto"/>
          <w:highlight w:val="none"/>
        </w:rPr>
      </w:pPr>
      <w:r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  <w:t>居民消费价格涨幅持续回落</w:t>
      </w:r>
    </w:p>
    <w:p>
      <w:pPr>
        <w:widowControl/>
        <w:numPr>
          <w:ilvl w:val="0"/>
          <w:numId w:val="0"/>
        </w:numPr>
        <w:shd w:val="clear" w:color="auto" w:fill="auto"/>
        <w:spacing w:line="520" w:lineRule="exact"/>
        <w:ind w:firstLine="420" w:firstLineChars="200"/>
        <w:rPr>
          <w:color w:val="auto"/>
          <w:highlight w:val="none"/>
        </w:rPr>
      </w:pPr>
      <w:r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  <w:t>1-5月，示范区居民消费价格同比上涨2.5%，较1-4月回落0.5个百分比。八大类商品和服务价格呈“二升二平四降”的态势。其中，食品烟酒类、其他用品和服务类分别累计上涨10.5%、10.3%；衣着类、生活用品及服务类、交通通信类和教育文化和娱乐类分别下跌8.2%、1.1%、2.3%、0.9%；居住类和医疗保健类价格持平。在食品烟酒价格中，粮食上涨0.2%，鲜菜上涨6.6</w:t>
      </w:r>
      <w:r>
        <w:rPr>
          <w:rFonts w:hint="default" w:ascii="宋体" w:hAnsi="宋体" w:cs="仿宋_GB2312"/>
          <w:color w:val="auto"/>
          <w:sz w:val="21"/>
          <w:szCs w:val="21"/>
          <w:highlight w:val="none"/>
          <w:lang w:val="en-US" w:eastAsia="zh-CN"/>
        </w:rPr>
        <w:t>%</w:t>
      </w:r>
      <w:r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  <w:t>，畜肉上涨90.9</w:t>
      </w:r>
      <w:r>
        <w:rPr>
          <w:rFonts w:hint="default" w:ascii="宋体" w:hAnsi="宋体" w:cs="仿宋_GB2312"/>
          <w:color w:val="auto"/>
          <w:sz w:val="21"/>
          <w:szCs w:val="21"/>
          <w:highlight w:val="none"/>
          <w:lang w:val="en-US" w:eastAsia="zh-CN"/>
        </w:rPr>
        <w:t>%</w:t>
      </w:r>
      <w:r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  <w:t>，鲜果下降22.1</w:t>
      </w:r>
      <w:r>
        <w:rPr>
          <w:rFonts w:hint="default" w:ascii="宋体" w:hAnsi="宋体" w:cs="仿宋_GB2312"/>
          <w:color w:val="auto"/>
          <w:sz w:val="21"/>
          <w:szCs w:val="21"/>
          <w:highlight w:val="none"/>
          <w:lang w:val="en-US" w:eastAsia="zh-CN"/>
        </w:rPr>
        <w:t>%</w:t>
      </w:r>
      <w:r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  <w:t>。</w:t>
      </w:r>
    </w:p>
    <w:p>
      <w:pPr>
        <w:widowControl/>
        <w:shd w:val="clear" w:color="auto" w:fill="auto"/>
        <w:spacing w:line="520" w:lineRule="exact"/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</w:pPr>
    </w:p>
    <w:p>
      <w:pPr>
        <w:widowControl/>
        <w:shd w:val="clear" w:color="auto" w:fill="auto"/>
        <w:spacing w:line="520" w:lineRule="exact"/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</w:pPr>
    </w:p>
    <w:p>
      <w:pPr>
        <w:widowControl/>
        <w:shd w:val="clear" w:color="auto" w:fill="auto"/>
        <w:spacing w:line="520" w:lineRule="exact"/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</w:pPr>
    </w:p>
    <w:p>
      <w:pPr>
        <w:widowControl/>
        <w:shd w:val="clear" w:color="auto" w:fill="auto"/>
        <w:spacing w:line="520" w:lineRule="exact"/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</w:pPr>
    </w:p>
    <w:p>
      <w:pPr>
        <w:widowControl/>
        <w:shd w:val="clear" w:color="auto" w:fill="auto"/>
        <w:spacing w:line="520" w:lineRule="exact"/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</w:pPr>
    </w:p>
    <w:p>
      <w:pPr>
        <w:widowControl/>
        <w:shd w:val="clear" w:color="auto" w:fill="auto"/>
        <w:spacing w:line="520" w:lineRule="exact"/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</w:pPr>
    </w:p>
    <w:p>
      <w:pPr>
        <w:widowControl/>
        <w:shd w:val="clear" w:color="auto" w:fill="auto"/>
        <w:spacing w:line="520" w:lineRule="exact"/>
        <w:rPr>
          <w:rFonts w:hint="eastAsia" w:ascii="宋体" w:hAnsi="宋体" w:cs="仿宋_GB2312"/>
          <w:color w:val="auto"/>
          <w:sz w:val="21"/>
          <w:szCs w:val="21"/>
          <w:highlight w:val="none"/>
          <w:lang w:val="en-US" w:eastAsia="zh-CN"/>
        </w:rPr>
      </w:pPr>
    </w:p>
    <w:p>
      <w:pPr>
        <w:widowControl/>
        <w:shd w:val="clear" w:color="auto" w:fill="auto"/>
        <w:spacing w:line="360" w:lineRule="auto"/>
        <w:ind w:firstLine="1280" w:firstLineChars="400"/>
        <w:jc w:val="both"/>
        <w:rPr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主要经济指标发展趋势图</w:t>
      </w:r>
    </w:p>
    <w:p>
      <w:pPr>
        <w:shd w:val="clear" w:color="auto" w:fill="auto"/>
        <w:jc w:val="left"/>
        <w:rPr>
          <w:color w:val="auto"/>
          <w:highlight w:val="none"/>
        </w:rPr>
      </w:pPr>
    </w:p>
    <w:p>
      <w:pPr>
        <w:shd w:val="clear" w:color="auto" w:fill="auto"/>
        <w:jc w:val="center"/>
        <w:rPr>
          <w:rFonts w:hint="eastAsia" w:eastAsia="宋体"/>
          <w:color w:val="auto"/>
          <w:highlight w:val="none"/>
          <w:lang w:eastAsia="zh-CN"/>
        </w:rPr>
      </w:pPr>
      <w:r>
        <w:drawing>
          <wp:inline distT="0" distB="0" distL="114300" distR="114300">
            <wp:extent cx="3848735" cy="2025650"/>
            <wp:effectExtent l="0" t="0" r="0" b="0"/>
            <wp:docPr id="1" name="Host Control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hd w:val="clear" w:color="auto" w:fill="auto"/>
        <w:jc w:val="both"/>
        <w:outlineLvl w:val="0"/>
        <w:rPr>
          <w:rFonts w:hint="eastAsia"/>
          <w:color w:val="auto"/>
          <w:highlight w:val="none"/>
        </w:rPr>
      </w:pPr>
    </w:p>
    <w:p>
      <w:pPr>
        <w:shd w:val="clear" w:color="auto" w:fill="auto"/>
        <w:jc w:val="center"/>
        <w:outlineLvl w:val="0"/>
        <w:rPr>
          <w:rFonts w:hint="eastAsia" w:eastAsia="宋体"/>
          <w:color w:val="auto"/>
          <w:highlight w:val="none"/>
          <w:lang w:eastAsia="zh-CN"/>
        </w:rPr>
      </w:pPr>
      <w:r>
        <w:drawing>
          <wp:inline distT="0" distB="0" distL="114300" distR="114300">
            <wp:extent cx="3849370" cy="2112010"/>
            <wp:effectExtent l="0" t="0" r="0" b="0"/>
            <wp:docPr id="2" name="Chart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shd w:val="clear" w:color="auto" w:fill="auto"/>
        <w:jc w:val="both"/>
        <w:outlineLvl w:val="0"/>
        <w:rPr>
          <w:rFonts w:hint="eastAsia"/>
          <w:color w:val="auto"/>
          <w:highlight w:val="none"/>
        </w:rPr>
      </w:pPr>
    </w:p>
    <w:p>
      <w:pPr>
        <w:shd w:val="clear" w:color="auto" w:fill="auto"/>
        <w:jc w:val="center"/>
        <w:outlineLvl w:val="0"/>
        <w:rPr>
          <w:rFonts w:hint="eastAsia"/>
          <w:color w:val="auto"/>
          <w:highlight w:val="none"/>
        </w:rPr>
      </w:pPr>
    </w:p>
    <w:p>
      <w:pPr>
        <w:shd w:val="clear" w:color="auto" w:fill="auto"/>
        <w:jc w:val="center"/>
        <w:outlineLvl w:val="0"/>
        <w:rPr>
          <w:rFonts w:hint="eastAsia" w:eastAsia="宋体"/>
          <w:color w:val="auto"/>
          <w:highlight w:val="none"/>
          <w:lang w:eastAsia="zh-CN"/>
        </w:rPr>
      </w:pPr>
      <w:r>
        <w:drawing>
          <wp:inline distT="0" distB="0" distL="114300" distR="114300">
            <wp:extent cx="3849370" cy="2545080"/>
            <wp:effectExtent l="0" t="0" r="0" b="0"/>
            <wp:docPr id="3" name="Ch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hd w:val="clear" w:color="auto" w:fill="auto"/>
        <w:jc w:val="center"/>
        <w:outlineLvl w:val="0"/>
        <w:rPr>
          <w:color w:val="auto"/>
          <w:highlight w:val="none"/>
        </w:rPr>
      </w:pPr>
    </w:p>
    <w:p>
      <w:pPr>
        <w:shd w:val="clear" w:color="auto" w:fill="auto"/>
        <w:jc w:val="center"/>
        <w:outlineLvl w:val="0"/>
        <w:rPr>
          <w:rFonts w:hint="eastAsia"/>
          <w:color w:val="auto"/>
          <w:highlight w:val="none"/>
        </w:rPr>
      </w:pPr>
    </w:p>
    <w:p>
      <w:pPr>
        <w:shd w:val="clear" w:color="auto" w:fill="auto"/>
        <w:jc w:val="center"/>
        <w:outlineLvl w:val="0"/>
        <w:rPr>
          <w:rFonts w:hint="eastAsia"/>
          <w:color w:val="auto"/>
          <w:highlight w:val="none"/>
        </w:rPr>
      </w:pPr>
    </w:p>
    <w:p>
      <w:pPr>
        <w:shd w:val="clear" w:color="auto" w:fill="auto"/>
        <w:jc w:val="center"/>
        <w:outlineLvl w:val="0"/>
        <w:rPr>
          <w:rFonts w:hint="eastAsia" w:eastAsia="宋体"/>
          <w:color w:val="auto"/>
          <w:highlight w:val="none"/>
          <w:lang w:eastAsia="zh-CN"/>
        </w:rPr>
      </w:pPr>
      <w:r>
        <w:drawing>
          <wp:inline distT="0" distB="0" distL="114300" distR="114300">
            <wp:extent cx="3851275" cy="1837055"/>
            <wp:effectExtent l="0" t="0" r="0" b="0"/>
            <wp:docPr id="4" name="Host Control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shd w:val="clear" w:color="auto" w:fill="auto"/>
        <w:tabs>
          <w:tab w:val="left" w:pos="2067"/>
        </w:tabs>
        <w:jc w:val="both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hd w:val="clear" w:color="auto" w:fill="auto"/>
        <w:tabs>
          <w:tab w:val="left" w:pos="2067"/>
        </w:tabs>
        <w:jc w:val="both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hd w:val="clear" w:color="auto" w:fill="auto"/>
        <w:tabs>
          <w:tab w:val="left" w:pos="2067"/>
        </w:tabs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示范区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主要经济指标</w:t>
      </w:r>
    </w:p>
    <w:p>
      <w:pPr>
        <w:shd w:val="clear" w:color="auto" w:fill="auto"/>
        <w:jc w:val="center"/>
        <w:rPr>
          <w:color w:val="auto"/>
          <w:sz w:val="18"/>
          <w:szCs w:val="18"/>
          <w:highlight w:val="none"/>
        </w:rPr>
      </w:pP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0"/>
        <w:gridCol w:w="2974"/>
        <w:gridCol w:w="1101"/>
        <w:gridCol w:w="1043"/>
        <w:gridCol w:w="969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3124" w:type="dxa"/>
            <w:gridSpan w:val="2"/>
            <w:tcBorders>
              <w:top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指    标</w:t>
            </w:r>
          </w:p>
        </w:tc>
        <w:tc>
          <w:tcPr>
            <w:tcW w:w="1101" w:type="dxa"/>
            <w:tcBorders>
              <w:top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043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1-本月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地区生产总值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（一季度）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154.25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-4.0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第一产业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4.66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-13.3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第二产业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93.12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-4.1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第三产业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56.46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-3.1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规模以上工业增加值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－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1.8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bottom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bottom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规模以上工业产销率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bottom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9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5.5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固定资产投资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－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-11.8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社会消费品零售总额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63.5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-12.6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地方财政收入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25.42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-3.2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一般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公共预算收入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23.87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0.4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地方财政支出 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49.36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6.8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一般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公共预算支出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39.52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1.8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金融机构月末存款余额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568.2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10.4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#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住户存款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58.2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8.9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金融机构月末贷款余额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359.2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14.0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进出口总额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55.7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4.1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#出口总额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11.8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-12.7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居民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人均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可支配收入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（一季度）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8255.1 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城镇居民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人均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可支配收入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（一季度）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9270.3 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农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村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居民人均可支配收入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（一季度）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7005.3 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居民消费价格总指数</w:t>
            </w:r>
          </w:p>
        </w:tc>
        <w:tc>
          <w:tcPr>
            <w:tcW w:w="1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10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10</w:t>
            </w: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2.5</w:t>
            </w:r>
          </w:p>
        </w:tc>
        <w:tc>
          <w:tcPr>
            <w:tcW w:w="96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highlight w:val="none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1-4月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规模以上工业营业收入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—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tabs>
                <w:tab w:val="left" w:pos="393"/>
              </w:tabs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highlight w:val="none"/>
                <w:lang w:val="en-US" w:eastAsia="zh-CN"/>
              </w:rPr>
              <w:t>-2.0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5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2974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auto"/>
                <w:sz w:val="18"/>
                <w:highlight w:val="none"/>
              </w:rPr>
            </w:pPr>
            <w:r>
              <w:rPr>
                <w:color w:val="auto"/>
                <w:sz w:val="18"/>
                <w:highlight w:val="none"/>
              </w:rPr>
              <w:t xml:space="preserve"> 利润总额</w:t>
            </w:r>
          </w:p>
        </w:tc>
        <w:tc>
          <w:tcPr>
            <w:tcW w:w="1101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auto"/>
                <w:sz w:val="18"/>
                <w:highlight w:val="none"/>
              </w:rPr>
            </w:pPr>
            <w:r>
              <w:rPr>
                <w:color w:val="auto"/>
                <w:sz w:val="18"/>
                <w:highlight w:val="none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—</w:t>
            </w:r>
          </w:p>
        </w:tc>
        <w:tc>
          <w:tcPr>
            <w:tcW w:w="969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highlight w:val="none"/>
                <w:lang w:val="en-US" w:eastAsia="zh-CN"/>
              </w:rPr>
              <w:t>-14.2</w:t>
            </w:r>
          </w:p>
        </w:tc>
      </w:tr>
    </w:tbl>
    <w:p>
      <w:pPr>
        <w:shd w:val="clear" w:color="auto" w:fill="auto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sectPr>
          <w:footerReference r:id="rId3" w:type="default"/>
          <w:footerReference r:id="rId4" w:type="even"/>
          <w:pgSz w:w="8335" w:h="11850"/>
          <w:pgMar w:top="1134" w:right="1134" w:bottom="1134" w:left="1134" w:header="567" w:footer="851" w:gutter="0"/>
          <w:cols w:space="720" w:num="1"/>
          <w:docGrid w:type="lines" w:linePitch="310" w:charSpace="0"/>
        </w:sectPr>
      </w:pPr>
    </w:p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规模以上工业增加值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ascii="宋体" w:hAnsi="宋体"/>
          <w:color w:val="auto"/>
          <w:sz w:val="18"/>
          <w:szCs w:val="18"/>
          <w:highlight w:val="none"/>
        </w:rPr>
        <w:t>单位：%</w:t>
      </w:r>
      <w:r>
        <w:rPr>
          <w:rFonts w:hint="eastAsia" w:ascii="宋体" w:hAnsi="宋体"/>
          <w:color w:val="auto"/>
          <w:sz w:val="18"/>
          <w:szCs w:val="18"/>
          <w:highlight w:val="none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"/>
        <w:gridCol w:w="3476"/>
        <w:gridCol w:w="1374"/>
        <w:gridCol w:w="121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1" w:hRule="exact"/>
          <w:jc w:val="center"/>
        </w:trPr>
        <w:tc>
          <w:tcPr>
            <w:tcW w:w="3651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  <w:t>指    标</w:t>
            </w:r>
          </w:p>
        </w:tc>
        <w:tc>
          <w:tcPr>
            <w:tcW w:w="1374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  <w:t>本月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  <w:t>增长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  <w:t>累计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  <w:t>规模以上工业增加值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#轻工业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36.4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0.4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重工业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#国有控股企业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-3.3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-12.3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#国有企业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-5.6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-7.9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集体企业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-62.1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8.5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股份制企业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12.3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外商和港澳台商投资企业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-34.1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-23.4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其他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—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#公有制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-0.1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-10.9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非公有制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11.1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8.6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#大型企业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8.6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6.8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中型企业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13.3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-21.1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小型企业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-0.3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-8.1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#大中型企业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9.1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 其中：国有控股企业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-4.5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-12.5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#高技术产业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90.6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107.3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#内资企业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11.3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港、澳、台商投资企业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—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76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外商投资企业</w:t>
            </w:r>
          </w:p>
        </w:tc>
        <w:tc>
          <w:tcPr>
            <w:tcW w:w="1374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-34.1</w:t>
            </w:r>
          </w:p>
        </w:tc>
        <w:tc>
          <w:tcPr>
            <w:tcW w:w="1212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-23.4</w:t>
            </w:r>
          </w:p>
        </w:tc>
      </w:tr>
    </w:tbl>
    <w:p>
      <w:pPr>
        <w:shd w:val="clear" w:color="auto" w:fill="auto"/>
        <w:spacing w:line="100" w:lineRule="atLeast"/>
        <w:rPr>
          <w:rFonts w:hint="eastAsia"/>
          <w:color w:val="auto"/>
          <w:sz w:val="15"/>
          <w:szCs w:val="15"/>
          <w:highlight w:val="none"/>
        </w:rPr>
      </w:pPr>
      <w:r>
        <w:rPr>
          <w:rFonts w:hint="eastAsia"/>
          <w:b/>
          <w:bCs/>
          <w:color w:val="auto"/>
          <w:sz w:val="15"/>
          <w:szCs w:val="15"/>
          <w:highlight w:val="none"/>
        </w:rPr>
        <w:t xml:space="preserve">注: </w:t>
      </w:r>
      <w:r>
        <w:rPr>
          <w:rFonts w:hint="eastAsia"/>
          <w:color w:val="auto"/>
          <w:sz w:val="15"/>
          <w:szCs w:val="15"/>
          <w:highlight w:val="none"/>
        </w:rPr>
        <w:t xml:space="preserve">1.规模以上工业统计范围为年主营业务收入2000万元及以上的全部工业企业; </w:t>
      </w:r>
    </w:p>
    <w:p>
      <w:pPr>
        <w:shd w:val="clear" w:color="auto" w:fill="auto"/>
        <w:spacing w:line="100" w:lineRule="atLeast"/>
        <w:rPr>
          <w:rFonts w:hint="eastAsia"/>
          <w:color w:val="auto"/>
          <w:sz w:val="15"/>
          <w:szCs w:val="18"/>
          <w:highlight w:val="none"/>
        </w:rPr>
      </w:pPr>
      <w:r>
        <w:rPr>
          <w:rFonts w:hint="eastAsia"/>
          <w:color w:val="auto"/>
          <w:sz w:val="15"/>
          <w:szCs w:val="15"/>
          <w:highlight w:val="none"/>
        </w:rPr>
        <w:t xml:space="preserve">   2.增加值增长速度按可比价计算。</w:t>
      </w:r>
    </w:p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规模以上工业分行业增加值增速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18"/>
          <w:szCs w:val="18"/>
          <w:highlight w:val="none"/>
        </w:rPr>
        <w:t>单位：%</w:t>
      </w:r>
      <w:r>
        <w:rPr>
          <w:rFonts w:hint="eastAsia" w:ascii="宋体" w:hAnsi="宋体"/>
          <w:color w:val="auto"/>
          <w:sz w:val="18"/>
          <w:szCs w:val="18"/>
          <w:highlight w:val="none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0"/>
        <w:gridCol w:w="3306"/>
        <w:gridCol w:w="1381"/>
        <w:gridCol w:w="138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3476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指    标</w:t>
            </w:r>
          </w:p>
        </w:tc>
        <w:tc>
          <w:tcPr>
            <w:tcW w:w="1381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本月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增长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累计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7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06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  <w:t>工业行业合计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7.5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  <w:t xml:space="preserve">  #高成长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highlight w:val="none"/>
              </w:rPr>
              <w:t>产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  <w:t>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22.5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19.9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  <w:t xml:space="preserve">  #传统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highlight w:val="none"/>
              </w:rPr>
              <w:t>支柱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  <w:t>行业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7.0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0.2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煤炭开采和洗选业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5.4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黑色金属矿采选业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-0.2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-57.8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有色金属矿采选业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-6.4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-0.6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农副食品加工业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-11.7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-8.8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食品制造业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1047.2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549.1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酒、饮料和精制茶制造业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-17.9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-42.0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纺织业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36.2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26.3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皮革、毛皮、羽毛及其制品和制鞋业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-3.0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木材加工和木、竹、藤、棕、草制品业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-82.3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-72.5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造纸和纸制品业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163.8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-9.6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印刷和记录媒介复制业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-12.8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文教、工美、体育和娱乐用品制造业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-0.6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-50.4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06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石油加工、炼焦和核燃料加工业</w:t>
            </w:r>
          </w:p>
        </w:tc>
        <w:tc>
          <w:tcPr>
            <w:tcW w:w="1381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-35.4</w:t>
            </w:r>
          </w:p>
        </w:tc>
        <w:tc>
          <w:tcPr>
            <w:tcW w:w="1380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-25.5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规模以上工业分行业增加值增速（续）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18"/>
          <w:szCs w:val="18"/>
          <w:highlight w:val="none"/>
        </w:rPr>
        <w:t>单位：%</w:t>
      </w:r>
      <w:r>
        <w:rPr>
          <w:rFonts w:hint="eastAsia" w:ascii="宋体" w:hAnsi="宋体"/>
          <w:color w:val="auto"/>
          <w:sz w:val="18"/>
          <w:szCs w:val="18"/>
          <w:highlight w:val="none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6"/>
        <w:gridCol w:w="3440"/>
        <w:gridCol w:w="1251"/>
        <w:gridCol w:w="138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3606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指    标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本月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增长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累计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化学原料和化学制品制造业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8.8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医药制造业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282.0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-4.0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化学纤维制造业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74.5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26.0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橡胶和塑料制品业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22.0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-11.3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非金属矿物制品业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-2.7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黑色金属冶炼和压延加工业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15.0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有色金属冶炼和压延加工业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11.9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金属制品业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-29.5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-23.2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通用设备制造业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-5.5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专用设备制造业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-32.8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-19.3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汽车制造业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-100.0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w w:val="90"/>
                <w:kern w:val="0"/>
                <w:sz w:val="18"/>
                <w:szCs w:val="18"/>
                <w:highlight w:val="none"/>
                <w:lang w:bidi="ar"/>
              </w:rPr>
              <w:t>铁路、船舶、航空航天和其他运输设备制造业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22.2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电气机械和器材制造业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55.3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25.4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计算机、通信和其他电子设备制造业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84.6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115.7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仪器仪表制造业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118.8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145.2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其他制造业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—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废弃资源综合利用业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-28.2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-35.9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电力、热力生产和供应业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-14.1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燃气生产和供应业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-9.5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8.0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40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水的生产和供应业</w:t>
            </w:r>
          </w:p>
        </w:tc>
        <w:tc>
          <w:tcPr>
            <w:tcW w:w="1251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380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-10.3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规模以上工业产品产销率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18"/>
          <w:highlight w:val="none"/>
        </w:rPr>
        <w:t>单位：%</w:t>
      </w:r>
      <w:r>
        <w:rPr>
          <w:rFonts w:hint="eastAsia" w:ascii="宋体" w:hAnsi="宋体"/>
          <w:color w:val="auto"/>
          <w:sz w:val="18"/>
          <w:highlight w:val="none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0"/>
        <w:gridCol w:w="3113"/>
        <w:gridCol w:w="984"/>
        <w:gridCol w:w="985"/>
        <w:gridCol w:w="9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3283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指    标</w:t>
            </w:r>
          </w:p>
        </w:tc>
        <w:tc>
          <w:tcPr>
            <w:tcW w:w="984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本月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1-本月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同比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增长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  <w:t>工业产品销售率总计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97.4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95.5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-2.4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auto"/>
                <w:sz w:val="18"/>
                <w:highlight w:val="none"/>
              </w:rPr>
            </w:pPr>
            <w:r>
              <w:rPr>
                <w:rFonts w:hAnsi="宋体"/>
                <w:color w:val="auto"/>
                <w:sz w:val="18"/>
                <w:highlight w:val="none"/>
              </w:rPr>
              <w:t xml:space="preserve">  #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轻工业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93.3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86.8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-4.6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auto"/>
                <w:sz w:val="18"/>
                <w:highlight w:val="none"/>
              </w:rPr>
            </w:pPr>
            <w:r>
              <w:rPr>
                <w:rFonts w:hAnsi="宋体"/>
                <w:color w:val="auto"/>
                <w:sz w:val="18"/>
                <w:highlight w:val="none"/>
              </w:rPr>
              <w:t xml:space="preserve"> 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重工业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97.7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96.1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-2.2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auto"/>
                <w:sz w:val="18"/>
                <w:highlight w:val="none"/>
              </w:rPr>
            </w:pPr>
            <w:r>
              <w:rPr>
                <w:rFonts w:hAnsi="宋体"/>
                <w:color w:val="auto"/>
                <w:sz w:val="18"/>
                <w:highlight w:val="none"/>
              </w:rPr>
              <w:t xml:space="preserve">  #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国有控股企业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104.2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97.3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-1.2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auto"/>
                <w:sz w:val="18"/>
                <w:highlight w:val="none"/>
              </w:rPr>
            </w:pPr>
            <w:r>
              <w:rPr>
                <w:rFonts w:hAnsi="宋体"/>
                <w:color w:val="auto"/>
                <w:sz w:val="18"/>
                <w:highlight w:val="none"/>
              </w:rPr>
              <w:t xml:space="preserve">  #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国有企业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99.8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99.8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0.1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auto"/>
                <w:sz w:val="18"/>
                <w:highlight w:val="none"/>
              </w:rPr>
            </w:pPr>
            <w:r>
              <w:rPr>
                <w:rFonts w:hAnsi="宋体"/>
                <w:color w:val="auto"/>
                <w:sz w:val="18"/>
                <w:highlight w:val="none"/>
              </w:rPr>
              <w:t xml:space="preserve"> 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集体企业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100.0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100.0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auto"/>
                <w:sz w:val="18"/>
                <w:highlight w:val="none"/>
              </w:rPr>
            </w:pPr>
            <w:r>
              <w:rPr>
                <w:rFonts w:hAnsi="宋体"/>
                <w:color w:val="auto"/>
                <w:sz w:val="18"/>
                <w:highlight w:val="none"/>
              </w:rPr>
              <w:t xml:space="preserve"> 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股份制企业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97.1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95.1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-2.5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auto"/>
                <w:sz w:val="18"/>
                <w:highlight w:val="none"/>
              </w:rPr>
            </w:pPr>
            <w:r>
              <w:rPr>
                <w:rFonts w:hAnsi="宋体"/>
                <w:color w:val="auto"/>
                <w:sz w:val="18"/>
                <w:highlight w:val="none"/>
              </w:rPr>
              <w:t xml:space="preserve"> 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外商和港澳台商投资企业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101.5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100.1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-1.1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auto"/>
                <w:sz w:val="18"/>
                <w:highlight w:val="none"/>
              </w:rPr>
            </w:pPr>
            <w:r>
              <w:rPr>
                <w:rFonts w:hAnsi="宋体"/>
                <w:color w:val="auto"/>
                <w:sz w:val="18"/>
                <w:highlight w:val="none"/>
              </w:rPr>
              <w:t xml:space="preserve"> 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其他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auto"/>
                <w:sz w:val="18"/>
                <w:highlight w:val="none"/>
              </w:rPr>
            </w:pPr>
            <w:r>
              <w:rPr>
                <w:rFonts w:hAnsi="宋体"/>
                <w:color w:val="auto"/>
                <w:sz w:val="18"/>
                <w:highlight w:val="none"/>
              </w:rPr>
              <w:t xml:space="preserve">  #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公有制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102.7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97.6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-1.0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auto"/>
                <w:sz w:val="18"/>
                <w:highlight w:val="none"/>
              </w:rPr>
            </w:pPr>
            <w:r>
              <w:rPr>
                <w:rFonts w:hAnsi="宋体"/>
                <w:color w:val="auto"/>
                <w:sz w:val="18"/>
                <w:highlight w:val="none"/>
              </w:rPr>
              <w:t xml:space="preserve"> 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非公有制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95.1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94.6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-2.9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auto"/>
                <w:sz w:val="18"/>
                <w:highlight w:val="none"/>
              </w:rPr>
            </w:pPr>
            <w:r>
              <w:rPr>
                <w:rFonts w:hAnsi="宋体"/>
                <w:color w:val="auto"/>
                <w:sz w:val="18"/>
                <w:highlight w:val="none"/>
              </w:rPr>
              <w:t xml:space="preserve">  #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大型企业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99.2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95.9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-2.9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auto"/>
                <w:sz w:val="18"/>
                <w:highlight w:val="none"/>
              </w:rPr>
            </w:pPr>
            <w:r>
              <w:rPr>
                <w:rFonts w:hAnsi="宋体"/>
                <w:color w:val="auto"/>
                <w:sz w:val="18"/>
                <w:highlight w:val="none"/>
              </w:rPr>
              <w:t xml:space="preserve"> 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中型企业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88.5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93.4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0.2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auto"/>
                <w:sz w:val="18"/>
                <w:highlight w:val="none"/>
              </w:rPr>
            </w:pPr>
            <w:r>
              <w:rPr>
                <w:rFonts w:hAnsi="宋体"/>
                <w:color w:val="auto"/>
                <w:sz w:val="18"/>
                <w:highlight w:val="none"/>
              </w:rPr>
              <w:t xml:space="preserve"> 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小型企业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92.0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93.5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-1.8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auto"/>
                <w:sz w:val="18"/>
                <w:highlight w:val="none"/>
              </w:rPr>
            </w:pPr>
            <w:r>
              <w:rPr>
                <w:rFonts w:hAnsi="宋体"/>
                <w:color w:val="auto"/>
                <w:sz w:val="18"/>
                <w:highlight w:val="none"/>
              </w:rPr>
              <w:t xml:space="preserve">  #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大中型企业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98.2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95.7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-2.5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auto"/>
                <w:sz w:val="18"/>
                <w:highlight w:val="none"/>
              </w:rPr>
            </w:pPr>
            <w:r>
              <w:rPr>
                <w:rFonts w:hAnsi="宋体"/>
                <w:color w:val="auto"/>
                <w:sz w:val="18"/>
                <w:highlight w:val="none"/>
              </w:rPr>
              <w:t xml:space="preserve">   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其中：国有控股企业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105.3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97.7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-1.6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auto"/>
                <w:sz w:val="18"/>
                <w:highlight w:val="none"/>
              </w:rPr>
            </w:pPr>
            <w:r>
              <w:rPr>
                <w:rFonts w:hAnsi="宋体"/>
                <w:color w:val="auto"/>
                <w:sz w:val="18"/>
                <w:highlight w:val="none"/>
              </w:rPr>
              <w:t xml:space="preserve">  #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高技术产业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65.9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72.6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-18.6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auto"/>
                <w:sz w:val="18"/>
                <w:highlight w:val="none"/>
              </w:rPr>
            </w:pPr>
            <w:r>
              <w:rPr>
                <w:rFonts w:hAnsi="宋体"/>
                <w:color w:val="auto"/>
                <w:sz w:val="18"/>
                <w:highlight w:val="none"/>
              </w:rPr>
              <w:t xml:space="preserve">  #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内资企业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97.2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95.3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-2.4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auto"/>
                <w:sz w:val="18"/>
                <w:highlight w:val="none"/>
              </w:rPr>
            </w:pPr>
            <w:r>
              <w:rPr>
                <w:rFonts w:hAnsi="宋体"/>
                <w:color w:val="auto"/>
                <w:sz w:val="18"/>
                <w:highlight w:val="none"/>
              </w:rPr>
              <w:t xml:space="preserve"> 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港、澳、台商投资企业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—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—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7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3113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Ansi="宋体"/>
                <w:color w:val="auto"/>
                <w:sz w:val="18"/>
                <w:highlight w:val="none"/>
              </w:rPr>
            </w:pPr>
            <w:r>
              <w:rPr>
                <w:rFonts w:hAnsi="宋体"/>
                <w:color w:val="auto"/>
                <w:sz w:val="18"/>
                <w:highlight w:val="none"/>
              </w:rPr>
              <w:t xml:space="preserve"> 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外商投资企业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101.5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100.1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-1.1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规模以上工业主要产品产量</w:t>
      </w:r>
    </w:p>
    <w:p>
      <w:pPr>
        <w:shd w:val="clear" w:color="auto" w:fill="auto"/>
        <w:jc w:val="center"/>
        <w:rPr>
          <w:rFonts w:hint="eastAsia"/>
          <w:color w:val="auto"/>
          <w:sz w:val="18"/>
          <w:szCs w:val="18"/>
          <w:highlight w:val="none"/>
        </w:rPr>
      </w:pP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41"/>
        <w:gridCol w:w="2287"/>
        <w:gridCol w:w="1253"/>
        <w:gridCol w:w="1282"/>
        <w:gridCol w:w="117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528" w:type="dxa"/>
            <w:gridSpan w:val="2"/>
            <w:tcBorders>
              <w:top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指    标</w:t>
            </w:r>
          </w:p>
        </w:tc>
        <w:tc>
          <w:tcPr>
            <w:tcW w:w="1253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单位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1-本月</w:t>
            </w:r>
          </w:p>
        </w:tc>
        <w:tc>
          <w:tcPr>
            <w:tcW w:w="1174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互感器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软饮料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311474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-33.7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氢氧化钠（烧碱）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150035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-10.4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初级形态塑料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134001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-6.1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中成药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593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-9.8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水泥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409654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-26.9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耐火材料制品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43446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38.8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生铁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1635574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8.9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粗钢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1688401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3.8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钢材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1487934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-2.2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铅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446876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-5.9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黄金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千克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5562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4.9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白银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千克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1204681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-3.3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41" w:type="dxa"/>
            <w:tcBorders>
              <w:bottom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287" w:type="dxa"/>
            <w:tcBorders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锌</w:t>
            </w:r>
          </w:p>
        </w:tc>
        <w:tc>
          <w:tcPr>
            <w:tcW w:w="1253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141185</w:t>
            </w:r>
          </w:p>
        </w:tc>
        <w:tc>
          <w:tcPr>
            <w:tcW w:w="1174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4.2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241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锻件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吨</w:t>
            </w:r>
          </w:p>
        </w:tc>
        <w:tc>
          <w:tcPr>
            <w:tcW w:w="12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8628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-22.0</w:t>
            </w:r>
          </w:p>
        </w:tc>
      </w:tr>
    </w:tbl>
    <w:p>
      <w:pPr>
        <w:shd w:val="clear" w:color="auto" w:fill="auto"/>
        <w:jc w:val="both"/>
        <w:outlineLvl w:val="0"/>
        <w:rPr>
          <w:rFonts w:hint="eastAsia" w:ascii="黑体" w:hAnsi="黑体" w:eastAsia="黑体" w:cs="黑体"/>
          <w:color w:val="auto"/>
          <w:sz w:val="18"/>
          <w:szCs w:val="18"/>
          <w:highlight w:val="none"/>
        </w:rPr>
      </w:pPr>
      <w:r>
        <w:rPr>
          <w:rFonts w:hint="eastAsia" w:ascii="宋体" w:hAnsi="宋体"/>
          <w:color w:val="auto"/>
          <w:sz w:val="18"/>
          <w:szCs w:val="18"/>
          <w:highlight w:val="none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规模以上工业主要效益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指标增速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1-4月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）</w:t>
      </w:r>
    </w:p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 xml:space="preserve">                                              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  <w:t>单位：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%</w:t>
      </w:r>
    </w:p>
    <w:tbl>
      <w:tblPr>
        <w:tblStyle w:val="88"/>
        <w:tblpPr w:leftFromText="180" w:rightFromText="180" w:vertAnchor="text" w:horzAnchor="page" w:tblpX="1227" w:tblpY="231"/>
        <w:tblOverlap w:val="never"/>
        <w:tblW w:w="0" w:type="auto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59"/>
        <w:gridCol w:w="3757"/>
        <w:gridCol w:w="206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0" w:hRule="exact"/>
        </w:trPr>
        <w:tc>
          <w:tcPr>
            <w:tcW w:w="4016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指    标</w:t>
            </w:r>
          </w:p>
        </w:tc>
        <w:tc>
          <w:tcPr>
            <w:tcW w:w="206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增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长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%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</w:trPr>
        <w:tc>
          <w:tcPr>
            <w:tcW w:w="259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5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企业单位个数（个）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259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    其中：亏损企业个数（个）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259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流动资产合计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259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　　其中：应收帐款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259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　　　　　存货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-13.1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259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　　　　　　其中：产成品　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259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资产总计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259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负债合计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259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259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营业成本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259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销售费用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-17.4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259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259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财务费用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-9.0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259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营业利润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-12.6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259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259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亏损企业亏损额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-71.7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7" w:hRule="atLeast"/>
        </w:trPr>
        <w:tc>
          <w:tcPr>
            <w:tcW w:w="25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57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从业人员平均人数</w:t>
            </w:r>
          </w:p>
        </w:tc>
        <w:tc>
          <w:tcPr>
            <w:tcW w:w="2063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-2.8 </w:t>
            </w:r>
          </w:p>
        </w:tc>
      </w:tr>
    </w:tbl>
    <w:p>
      <w:pPr>
        <w:shd w:val="clear" w:color="auto" w:fill="auto"/>
        <w:ind w:firstLine="180" w:firstLineChars="100"/>
        <w:jc w:val="both"/>
        <w:outlineLvl w:val="0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18"/>
          <w:szCs w:val="18"/>
          <w:highlight w:val="none"/>
          <w:lang w:val="en-US" w:eastAsia="zh-CN"/>
        </w:rPr>
        <w:t>注：</w:t>
      </w:r>
      <w:r>
        <w:rPr>
          <w:rFonts w:hint="eastAsia"/>
          <w:color w:val="auto"/>
          <w:sz w:val="18"/>
          <w:szCs w:val="18"/>
          <w:highlight w:val="none"/>
        </w:rPr>
        <w:t>统计范围为年主营业务收</w:t>
      </w:r>
      <w:r>
        <w:rPr>
          <w:rFonts w:hint="eastAsia"/>
          <w:color w:val="auto"/>
          <w:sz w:val="18"/>
          <w:szCs w:val="18"/>
          <w:highlight w:val="none"/>
          <w:lang w:val="en-US" w:eastAsia="zh-CN"/>
        </w:rPr>
        <w:t>入</w:t>
      </w:r>
      <w:r>
        <w:rPr>
          <w:rFonts w:hint="eastAsia"/>
          <w:color w:val="auto"/>
          <w:sz w:val="18"/>
          <w:szCs w:val="18"/>
          <w:highlight w:val="none"/>
        </w:rPr>
        <w:t>2000万元及以上的全部工业企业</w:t>
      </w:r>
      <w:r>
        <w:rPr>
          <w:rFonts w:hint="eastAsia"/>
          <w:color w:val="auto"/>
          <w:sz w:val="18"/>
          <w:szCs w:val="18"/>
          <w:highlight w:val="none"/>
          <w:lang w:eastAsia="zh-CN"/>
        </w:rPr>
        <w:t>。</w:t>
      </w:r>
    </w:p>
    <w:p>
      <w:pPr>
        <w:shd w:val="clear" w:color="auto" w:fill="auto"/>
        <w:jc w:val="both"/>
        <w:outlineLvl w:val="0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</w:pPr>
    </w:p>
    <w:p>
      <w:pPr>
        <w:shd w:val="clear" w:color="auto" w:fill="auto"/>
        <w:jc w:val="both"/>
        <w:outlineLvl w:val="0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工业企业各种分组主要经济指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auto"/>
        </w:rPr>
        <w:t>标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auto"/>
          <w:lang w:val="en-US" w:eastAsia="zh-CN"/>
        </w:rPr>
        <w:t>增速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1-4月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）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auto"/>
          <w:sz w:val="18"/>
          <w:szCs w:val="18"/>
          <w:highlight w:val="none"/>
        </w:rPr>
      </w:pPr>
      <w:r>
        <w:rPr>
          <w:rFonts w:ascii="宋体" w:hAnsi="宋体"/>
          <w:color w:val="auto"/>
          <w:sz w:val="18"/>
          <w:szCs w:val="18"/>
          <w:highlight w:val="none"/>
        </w:rPr>
        <w:t>单位：%</w:t>
      </w:r>
      <w:r>
        <w:rPr>
          <w:rFonts w:hint="eastAsia" w:ascii="宋体" w:hAnsi="宋体"/>
          <w:color w:val="auto"/>
          <w:sz w:val="18"/>
          <w:szCs w:val="18"/>
          <w:highlight w:val="none"/>
        </w:rPr>
        <w:t xml:space="preserve"> </w:t>
      </w:r>
    </w:p>
    <w:p>
      <w:pPr>
        <w:shd w:val="clear" w:color="auto" w:fill="auto"/>
        <w:spacing w:line="180" w:lineRule="exact"/>
        <w:rPr>
          <w:color w:val="auto"/>
          <w:highlight w:val="none"/>
        </w:rPr>
      </w:pPr>
    </w:p>
    <w:tbl>
      <w:tblPr>
        <w:tblStyle w:val="88"/>
        <w:tblpPr w:leftFromText="180" w:rightFromText="180" w:vertAnchor="text" w:horzAnchor="page" w:tblpX="1139" w:tblpY="80"/>
        <w:tblOverlap w:val="never"/>
        <w:tblW w:w="61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837"/>
        <w:gridCol w:w="1089"/>
        <w:gridCol w:w="1000"/>
        <w:gridCol w:w="12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标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企业数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营业收入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增长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  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利润总额 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增长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亏损企业亏损额 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增长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总计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221 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-14.2 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-71.7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公有制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-14.9 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-88.6 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国有控股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-14.3 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-84.8 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312.5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集体控股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-30.7 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-164.3 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非公有制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10.1 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-87.1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私人控股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189 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8.2 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-654.8 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-89.2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港澳台商控股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-2.8 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275.0 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外商控股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-23.0 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其他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-2.9 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-45.2 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轻工业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-14.2 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-53.5 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-20.7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重工业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-1.0 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-8.1 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-73.9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大中型企业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-5.9 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-76.6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高技术企业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116.8 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-95.6 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-95.0 </w:t>
            </w:r>
          </w:p>
        </w:tc>
      </w:tr>
    </w:tbl>
    <w:p>
      <w:pPr>
        <w:shd w:val="clear" w:color="auto" w:fill="auto"/>
        <w:spacing w:line="180" w:lineRule="exact"/>
        <w:rPr>
          <w:color w:val="auto"/>
          <w:highlight w:val="none"/>
        </w:rPr>
      </w:pPr>
    </w:p>
    <w:p>
      <w:pPr>
        <w:shd w:val="clear" w:color="auto" w:fill="auto"/>
        <w:jc w:val="both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shd w:val="clear" w:color="auto" w:fill="auto"/>
        <w:outlineLvl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shd w:val="clear" w:color="auto" w:fill="FFFF00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分行业工业企业主要经济指标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增速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shd w:val="clear" w:color="auto" w:fill="auto"/>
        </w:rPr>
        <w:t>（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1-4月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shd w:val="clear" w:color="auto" w:fill="auto"/>
        </w:rPr>
        <w:t>）</w:t>
      </w:r>
    </w:p>
    <w:p>
      <w:pPr>
        <w:shd w:val="clear" w:color="auto" w:fill="auto"/>
        <w:wordWrap w:val="0"/>
        <w:jc w:val="right"/>
        <w:rPr>
          <w:rFonts w:hint="eastAsia"/>
          <w:color w:val="auto"/>
          <w:highlight w:val="none"/>
        </w:rPr>
      </w:pPr>
      <w:r>
        <w:rPr>
          <w:rFonts w:ascii="宋体" w:hAnsi="宋体"/>
          <w:color w:val="auto"/>
          <w:sz w:val="18"/>
          <w:szCs w:val="18"/>
          <w:highlight w:val="none"/>
        </w:rPr>
        <w:t>单位：</w:t>
      </w:r>
      <w:r>
        <w:rPr>
          <w:rFonts w:hint="eastAsia" w:ascii="宋体" w:hAnsi="宋体"/>
          <w:color w:val="auto"/>
          <w:sz w:val="18"/>
          <w:szCs w:val="18"/>
          <w:highlight w:val="none"/>
        </w:rPr>
        <w:t>亿元、</w:t>
      </w:r>
      <w:r>
        <w:rPr>
          <w:rFonts w:ascii="宋体" w:hAnsi="宋体"/>
          <w:color w:val="auto"/>
          <w:sz w:val="18"/>
          <w:szCs w:val="18"/>
          <w:highlight w:val="none"/>
        </w:rPr>
        <w:t>%</w:t>
      </w:r>
      <w:r>
        <w:rPr>
          <w:rFonts w:hint="eastAsia" w:ascii="宋体" w:hAnsi="宋体"/>
          <w:color w:val="auto"/>
          <w:sz w:val="18"/>
          <w:szCs w:val="18"/>
          <w:highlight w:val="none"/>
        </w:rPr>
        <w:t xml:space="preserve"> </w:t>
      </w:r>
    </w:p>
    <w:tbl>
      <w:tblPr>
        <w:tblStyle w:val="88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518"/>
        <w:gridCol w:w="1121"/>
        <w:gridCol w:w="112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518" w:type="dxa"/>
            <w:vMerge w:val="restart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指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标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营业收入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利润总额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518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增长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3518" w:type="dxa"/>
            <w:tcBorders>
              <w:top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  <w:highlight w:val="none"/>
              </w:rPr>
              <w:t>工业行业合计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煤炭开采和洗选业</w:t>
            </w:r>
          </w:p>
        </w:tc>
        <w:tc>
          <w:tcPr>
            <w:tcW w:w="11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-46.4</w:t>
            </w:r>
          </w:p>
        </w:tc>
        <w:tc>
          <w:tcPr>
            <w:tcW w:w="11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-475.0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黑色金属矿采选业</w:t>
            </w:r>
          </w:p>
        </w:tc>
        <w:tc>
          <w:tcPr>
            <w:tcW w:w="11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-62.5</w:t>
            </w:r>
          </w:p>
        </w:tc>
        <w:tc>
          <w:tcPr>
            <w:tcW w:w="11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有色金属矿采选业</w:t>
            </w:r>
          </w:p>
        </w:tc>
        <w:tc>
          <w:tcPr>
            <w:tcW w:w="11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-25.0</w:t>
            </w:r>
          </w:p>
        </w:tc>
        <w:tc>
          <w:tcPr>
            <w:tcW w:w="11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非金属矿采选业</w:t>
            </w:r>
          </w:p>
        </w:tc>
        <w:tc>
          <w:tcPr>
            <w:tcW w:w="11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54.2</w:t>
            </w:r>
          </w:p>
        </w:tc>
        <w:tc>
          <w:tcPr>
            <w:tcW w:w="11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3518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农副食品加工业</w:t>
            </w:r>
          </w:p>
        </w:tc>
        <w:tc>
          <w:tcPr>
            <w:tcW w:w="1121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</w:t>
            </w:r>
          </w:p>
        </w:tc>
        <w:tc>
          <w:tcPr>
            <w:tcW w:w="1121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-56.3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食品制造业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-11.1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酒、饮料和精制茶制造业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-35.1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-67.5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纺织业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-33.3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w w:val="9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w w:val="90"/>
                <w:sz w:val="18"/>
                <w:szCs w:val="18"/>
                <w:highlight w:val="none"/>
              </w:rPr>
              <w:t>皮革、毛皮、羽毛及其制品和制鞋业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auto"/>
                <w:w w:val="9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w w:val="90"/>
                <w:sz w:val="18"/>
                <w:szCs w:val="18"/>
                <w:highlight w:val="none"/>
              </w:rPr>
              <w:t>木材加工和木、竹、藤、棕、草制品业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造纸和纸制品业 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-9.7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印刷和记录媒介复制业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-36.8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石油、煤炭及其他燃料加工业</w:t>
            </w:r>
            <w:r>
              <w:rPr>
                <w:rFonts w:ascii="宋体" w:hAnsi="宋体"/>
                <w:color w:val="auto"/>
                <w:sz w:val="22"/>
                <w:highlight w:val="none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-21.6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化学原料和化学制品制造业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-10.9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-39.0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医药制造业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-20.7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-100.0</w:t>
            </w:r>
          </w:p>
        </w:tc>
      </w:tr>
    </w:tbl>
    <w:p>
      <w:pPr>
        <w:shd w:val="clear" w:color="auto" w:fill="auto"/>
        <w:autoSpaceDN w:val="0"/>
        <w:jc w:val="center"/>
        <w:textAlignment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分行业工业企业主要经济指标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增速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（续）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18"/>
          <w:szCs w:val="18"/>
          <w:highlight w:val="none"/>
        </w:rPr>
        <w:t>单位：%</w:t>
      </w:r>
      <w:r>
        <w:rPr>
          <w:rFonts w:hint="eastAsia" w:ascii="宋体" w:hAnsi="宋体"/>
          <w:color w:val="auto"/>
          <w:sz w:val="18"/>
          <w:szCs w:val="18"/>
          <w:highlight w:val="none"/>
        </w:rPr>
        <w:t xml:space="preserve"> </w:t>
      </w:r>
    </w:p>
    <w:tbl>
      <w:tblPr>
        <w:tblStyle w:val="88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523"/>
        <w:gridCol w:w="1128"/>
        <w:gridCol w:w="1129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exact"/>
          <w:jc w:val="center"/>
        </w:trPr>
        <w:tc>
          <w:tcPr>
            <w:tcW w:w="3523" w:type="dxa"/>
            <w:vMerge w:val="restart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指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标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营业收入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利润总额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exact"/>
          <w:jc w:val="center"/>
        </w:trPr>
        <w:tc>
          <w:tcPr>
            <w:tcW w:w="3523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增长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3523" w:type="dxa"/>
            <w:tcBorders>
              <w:top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化学纤维制造业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-20.8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橡胶和塑料制品业</w:t>
            </w:r>
          </w:p>
        </w:tc>
        <w:tc>
          <w:tcPr>
            <w:tcW w:w="11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-22.7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非金属矿物制品业</w:t>
            </w:r>
          </w:p>
        </w:tc>
        <w:tc>
          <w:tcPr>
            <w:tcW w:w="11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-15.2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-41.9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黑色金属冶炼和压延加工业 </w:t>
            </w:r>
          </w:p>
        </w:tc>
        <w:tc>
          <w:tcPr>
            <w:tcW w:w="11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-44.0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有色金属冶炼和压延加工业 </w:t>
            </w:r>
          </w:p>
        </w:tc>
        <w:tc>
          <w:tcPr>
            <w:tcW w:w="11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金属制品业 </w:t>
            </w:r>
          </w:p>
        </w:tc>
        <w:tc>
          <w:tcPr>
            <w:tcW w:w="1128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-17.2</w:t>
            </w:r>
          </w:p>
        </w:tc>
        <w:tc>
          <w:tcPr>
            <w:tcW w:w="1129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-64.3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通用设备制造业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-5.8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-166.7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专用设备制造业 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-16.9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-52.9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汽车制造业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-100.0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-71.4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auto"/>
                <w:spacing w:val="-6"/>
                <w:w w:val="8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w w:val="80"/>
                <w:kern w:val="0"/>
                <w:sz w:val="18"/>
                <w:szCs w:val="18"/>
                <w:highlight w:val="none"/>
                <w:lang w:bidi="ar"/>
              </w:rPr>
              <w:t>铁路、船舶、航空航天和其他运输设备制造业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电气机械和器材制造业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-28.3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auto"/>
                <w:w w:val="9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w w:val="90"/>
                <w:kern w:val="0"/>
                <w:sz w:val="18"/>
                <w:szCs w:val="18"/>
                <w:highlight w:val="none"/>
                <w:lang w:bidi="ar"/>
              </w:rPr>
              <w:t>计算机、通信和其他电子设备制造业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126.2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-95.0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仪器仪表制造业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140.0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废弃资源综合利用业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-26.8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-466.7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电力、热力生产和供应业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-19.4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-94.6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燃气生产和供应业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-2.8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水的生产和供应业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23.8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-100.0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规模以上工业综合能源消费情况（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1-4月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）</w:t>
      </w:r>
    </w:p>
    <w:p>
      <w:pPr>
        <w:shd w:val="clear" w:color="auto" w:fill="auto"/>
        <w:jc w:val="center"/>
        <w:rPr>
          <w:rFonts w:hint="eastAsia" w:ascii="宋体" w:hAnsi="宋体" w:cs="黑体"/>
          <w:color w:val="auto"/>
          <w:sz w:val="18"/>
          <w:szCs w:val="18"/>
          <w:highlight w:val="none"/>
        </w:rPr>
      </w:pP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37"/>
        <w:gridCol w:w="1087"/>
        <w:gridCol w:w="1088"/>
        <w:gridCol w:w="855"/>
        <w:gridCol w:w="107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2137" w:type="dxa"/>
            <w:tcBorders>
              <w:top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指    标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1-本月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增长%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40" w:lineRule="exact"/>
              <w:ind w:right="120" w:rightChars="57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bCs/>
                <w:color w:val="auto"/>
                <w:sz w:val="18"/>
                <w:highlight w:val="none"/>
              </w:rPr>
              <w:t>万元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工业</w:t>
            </w:r>
          </w:p>
          <w:p>
            <w:pPr>
              <w:shd w:val="clear" w:color="auto" w:fill="auto"/>
              <w:autoSpaceDN w:val="0"/>
              <w:spacing w:line="240" w:lineRule="exact"/>
              <w:ind w:right="120" w:rightChars="57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增加值能</w:t>
            </w:r>
          </w:p>
          <w:p>
            <w:pPr>
              <w:shd w:val="clear" w:color="auto" w:fill="auto"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耗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增长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  <w:highlight w:val="none"/>
              </w:rPr>
              <w:t>规模以上工业合计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  <w:highlight w:val="none"/>
              </w:rPr>
              <w:t>万吨标准煤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207.98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-11.90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-12.08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#轻工业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-29.55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-23.01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重工业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203.99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-11.47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-12.43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#七大高耗能行业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201.34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-11.67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-10.30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/>
                <w:color w:val="auto"/>
                <w:sz w:val="15"/>
                <w:szCs w:val="15"/>
                <w:highlight w:val="none"/>
              </w:rPr>
              <w:t xml:space="preserve">    煤炭开采和洗选业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-76.19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-77.52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   </w:t>
            </w:r>
            <w:r>
              <w:rPr>
                <w:rFonts w:ascii="宋体" w:hAnsi="宋体"/>
                <w:color w:val="auto"/>
                <w:w w:val="80"/>
                <w:sz w:val="15"/>
                <w:szCs w:val="15"/>
                <w:highlight w:val="none"/>
              </w:rPr>
              <w:t>石油加工、炼焦和核燃料加工业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6.06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-37.04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-18.06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w w:val="80"/>
                <w:sz w:val="15"/>
                <w:szCs w:val="15"/>
                <w:highlight w:val="none"/>
              </w:rPr>
              <w:t xml:space="preserve"> </w:t>
            </w:r>
            <w:r>
              <w:rPr>
                <w:rFonts w:ascii="宋体" w:hAnsi="宋体"/>
                <w:color w:val="auto"/>
                <w:w w:val="80"/>
                <w:sz w:val="15"/>
                <w:szCs w:val="15"/>
                <w:highlight w:val="none"/>
              </w:rPr>
              <w:t>化学原料和化学制品制造业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9.91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   </w:t>
            </w:r>
            <w:r>
              <w:rPr>
                <w:rFonts w:ascii="宋体" w:hAnsi="宋体"/>
                <w:color w:val="auto"/>
                <w:sz w:val="15"/>
                <w:szCs w:val="15"/>
                <w:highlight w:val="none"/>
              </w:rPr>
              <w:t>非金属矿物制品业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-15.44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w w:val="8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w w:val="80"/>
                <w:sz w:val="15"/>
                <w:szCs w:val="15"/>
                <w:highlight w:val="none"/>
              </w:rPr>
              <w:t xml:space="preserve">     </w:t>
            </w:r>
            <w:r>
              <w:rPr>
                <w:rFonts w:ascii="宋体" w:hAnsi="宋体"/>
                <w:color w:val="auto"/>
                <w:w w:val="80"/>
                <w:sz w:val="15"/>
                <w:szCs w:val="15"/>
                <w:highlight w:val="none"/>
              </w:rPr>
              <w:t>黑色金属冶炼和压延加工业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79.82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10.56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11.21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w w:val="8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w w:val="80"/>
                <w:sz w:val="15"/>
                <w:szCs w:val="15"/>
                <w:highlight w:val="none"/>
              </w:rPr>
              <w:t xml:space="preserve">     </w:t>
            </w:r>
            <w:r>
              <w:rPr>
                <w:rFonts w:ascii="宋体" w:hAnsi="宋体"/>
                <w:color w:val="auto"/>
                <w:w w:val="80"/>
                <w:sz w:val="15"/>
                <w:szCs w:val="15"/>
                <w:highlight w:val="none"/>
              </w:rPr>
              <w:t>有色金属冶炼和压延加工业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12.37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   </w:t>
            </w:r>
            <w:r>
              <w:rPr>
                <w:rFonts w:ascii="宋体" w:hAnsi="宋体"/>
                <w:color w:val="auto"/>
                <w:sz w:val="15"/>
                <w:szCs w:val="15"/>
                <w:highlight w:val="none"/>
              </w:rPr>
              <w:t>电力、热力生产和供应业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71.57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-29.72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-13.76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#高技术制造业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-12.15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-58.40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#重点耗能企业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204.41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-11.66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  <w:highlight w:val="none"/>
              </w:rPr>
              <w:t>主要能源品种消费量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原煤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194.86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-35.06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电力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万千瓦时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251043.79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-5.30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热力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百万千焦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1062520.76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-8.63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137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天然气</w:t>
            </w:r>
          </w:p>
        </w:tc>
        <w:tc>
          <w:tcPr>
            <w:tcW w:w="1087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万立方米</w:t>
            </w:r>
          </w:p>
        </w:tc>
        <w:tc>
          <w:tcPr>
            <w:tcW w:w="1088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7017.42 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30.41 </w:t>
            </w:r>
          </w:p>
        </w:tc>
        <w:tc>
          <w:tcPr>
            <w:tcW w:w="1070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eastAsia="zh-CN"/>
              </w:rPr>
              <w:t>—</w:t>
            </w:r>
          </w:p>
        </w:tc>
      </w:tr>
    </w:tbl>
    <w:p>
      <w:pPr>
        <w:shd w:val="clear" w:color="auto" w:fill="auto"/>
        <w:autoSpaceDN w:val="0"/>
        <w:ind w:right="120" w:rightChars="57"/>
        <w:textAlignment w:val="center"/>
        <w:rPr>
          <w:rFonts w:hint="eastAsia"/>
          <w:bCs/>
          <w:color w:val="auto"/>
          <w:sz w:val="1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18"/>
          <w:szCs w:val="18"/>
          <w:highlight w:val="none"/>
        </w:rPr>
        <w:t>注:</w:t>
      </w:r>
      <w:r>
        <w:rPr>
          <w:rFonts w:hint="eastAsia" w:ascii="宋体" w:hAnsi="宋体" w:cs="宋体"/>
          <w:color w:val="auto"/>
          <w:sz w:val="18"/>
          <w:szCs w:val="18"/>
          <w:highlight w:val="none"/>
        </w:rPr>
        <w:t>重点耗能企业指年耗能5000吨以上的工业企业</w:t>
      </w:r>
    </w:p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固定资产投资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情况</w:t>
      </w:r>
    </w:p>
    <w:p>
      <w:pPr>
        <w:shd w:val="clear" w:color="auto" w:fil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                         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263"/>
        <w:gridCol w:w="297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3263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指    标</w:t>
            </w:r>
          </w:p>
        </w:tc>
        <w:tc>
          <w:tcPr>
            <w:tcW w:w="2974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同比增长（%）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263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一、投资完成额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 其中：工业投资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-20.5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 其中：房地产开发投资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19.7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 其中：基础设施投资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-6.9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 其中：民间投资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-15.5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 1.按产业分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     第一产业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96.9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     第二产业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-20.5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     第三产业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-7.5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 2.按隶属关系分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     中央项目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-27.3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     地方项目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-12.3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 3.按建设性质分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     新  建 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-19.2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     扩  建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-35.6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     改建与技术改造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13.1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 4.按构成分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     建筑安装工程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-14.3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     设备工器具购置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-5.3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     其他费用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-18.8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各行业固定资产投资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情况</w:t>
      </w:r>
    </w:p>
    <w:p>
      <w:pPr>
        <w:shd w:val="clear" w:color="auto" w:fill="auto"/>
        <w:wordWrap w:val="0"/>
        <w:ind w:right="720"/>
        <w:rPr>
          <w:rFonts w:ascii="宋体" w:hAnsi="宋体"/>
          <w:color w:val="auto"/>
          <w:sz w:val="18"/>
          <w:szCs w:val="18"/>
          <w:highlight w:val="none"/>
        </w:rPr>
      </w:pPr>
      <w:r>
        <w:rPr>
          <w:rFonts w:hint="eastAsia" w:ascii="宋体" w:hAnsi="宋体"/>
          <w:color w:val="auto"/>
          <w:sz w:val="18"/>
          <w:szCs w:val="18"/>
          <w:highlight w:val="none"/>
        </w:rPr>
        <w:t xml:space="preserve">                             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406"/>
        <w:gridCol w:w="183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4406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指    标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同比增长(%)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总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计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一、农、林、牧、渔业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62.8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 xml:space="preserve">    畜牧业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154.6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二、工业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-20.5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 xml:space="preserve">    （一）采矿业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-96.5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 xml:space="preserve">    （二）制造业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-12.3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 xml:space="preserve">    （三）电力热力燃气及水的生产和供应业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-44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三、建筑业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四、批发和零售业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-65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五、交通运输、仓储和邮政业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-38.6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六、住宿和餐饮业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-79.3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七、信息传输、软件和信息技术服务业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-100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八、金融业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九、房地产业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25.5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十、租赁和商务服务业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35.5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十一、科学研究和技术服务业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-100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十二、水利、环境和公共设施管理业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-11.7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十三、居民服务、修理和其他服务业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-100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十四、教育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-45.9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十五、卫生和社会工作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十六、文化、体育和娱乐业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1767.5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十七、公共管理、社会保障和社会组织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1165.5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4406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十八、国际组织</w:t>
            </w:r>
          </w:p>
        </w:tc>
        <w:tc>
          <w:tcPr>
            <w:tcW w:w="1831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auto"/>
                <w:sz w:val="18"/>
                <w:highlight w:val="none"/>
              </w:rPr>
            </w:pPr>
            <w:r>
              <w:rPr>
                <w:b/>
                <w:bCs/>
                <w:color w:val="auto"/>
                <w:sz w:val="18"/>
                <w:szCs w:val="18"/>
                <w:highlight w:val="none"/>
              </w:rPr>
              <w:t>－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宋体" w:hAnsi="宋体"/>
          <w:color w:val="auto"/>
          <w:sz w:val="18"/>
          <w:szCs w:val="18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在建、新开工项目（不含房地产）情况</w:t>
      </w:r>
      <w:r>
        <w:rPr>
          <w:rFonts w:hint="eastAsia" w:ascii="宋体" w:hAnsi="宋体"/>
          <w:color w:val="auto"/>
          <w:sz w:val="18"/>
          <w:szCs w:val="18"/>
          <w:highlight w:val="none"/>
          <w:shd w:val="clear" w:color="auto" w:fill="auto"/>
        </w:rPr>
        <w:t xml:space="preserve">    </w:t>
      </w:r>
      <w:r>
        <w:rPr>
          <w:rFonts w:hint="eastAsia" w:ascii="宋体" w:hAnsi="宋体"/>
          <w:color w:val="auto"/>
          <w:sz w:val="18"/>
          <w:szCs w:val="18"/>
          <w:highlight w:val="none"/>
        </w:rPr>
        <w:t xml:space="preserve">                                                                               </w:t>
      </w:r>
    </w:p>
    <w:p>
      <w:pPr>
        <w:shd w:val="clear" w:color="auto" w:fill="auto"/>
        <w:jc w:val="right"/>
        <w:outlineLvl w:val="0"/>
        <w:rPr>
          <w:rFonts w:hint="eastAsia" w:ascii="宋体" w:hAnsi="宋体"/>
          <w:color w:val="auto"/>
          <w:sz w:val="18"/>
          <w:szCs w:val="18"/>
          <w:highlight w:val="none"/>
        </w:rPr>
      </w:pPr>
      <w:r>
        <w:rPr>
          <w:rFonts w:hint="eastAsia" w:ascii="宋体" w:hAnsi="宋体"/>
          <w:color w:val="auto"/>
          <w:sz w:val="18"/>
          <w:szCs w:val="18"/>
          <w:highlight w:val="none"/>
        </w:rPr>
        <w:t>单位：个、%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800"/>
        <w:gridCol w:w="1695"/>
        <w:gridCol w:w="174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2800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指    标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项目数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投资额增长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2800" w:type="dxa"/>
            <w:tcBorders>
              <w:top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在建项目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计划总投资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168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-28.6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本年完成投资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168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-14.3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    其中：民间投资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137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-17.8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    其中：基础设施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43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-6.9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    其中：亿元以上项目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70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-10.3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    第一产业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7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96.9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    第二产业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88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-20.5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    第三产业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73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-10.6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新开工项目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本年完成投资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35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40.1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其中：民间投资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33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48.5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其中：基础设施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5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-15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其中：亿元以上项目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11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67.5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第一产业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4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642.2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第二产业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20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第三产业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11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66.8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18"/>
          <w:szCs w:val="18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房地产开发投资</w:t>
      </w:r>
    </w:p>
    <w:tbl>
      <w:tblPr>
        <w:tblStyle w:val="88"/>
        <w:tblpPr w:leftFromText="180" w:rightFromText="180" w:vertAnchor="text" w:horzAnchor="page" w:tblpX="1079" w:tblpY="290"/>
        <w:tblOverlap w:val="never"/>
        <w:tblW w:w="0" w:type="auto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543"/>
        <w:gridCol w:w="1061"/>
        <w:gridCol w:w="1437"/>
        <w:gridCol w:w="119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exact"/>
        </w:trPr>
        <w:tc>
          <w:tcPr>
            <w:tcW w:w="2543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指    标</w:t>
            </w:r>
          </w:p>
        </w:tc>
        <w:tc>
          <w:tcPr>
            <w:tcW w:w="1061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单位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1-本月</w:t>
            </w:r>
          </w:p>
        </w:tc>
        <w:tc>
          <w:tcPr>
            <w:tcW w:w="1196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2543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b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18"/>
                <w:highlight w:val="none"/>
              </w:rPr>
              <w:t>房地产开发投资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bCs w:val="0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bCs w:val="0"/>
                <w:color w:val="auto"/>
                <w:sz w:val="18"/>
                <w:highlight w:val="none"/>
              </w:rPr>
              <w:t>万元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59305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19.7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#住宅 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万元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50552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#商品房销售额</w:t>
            </w:r>
            <w:r>
              <w:rPr>
                <w:rFonts w:ascii="Arial" w:hAnsi="宋体"/>
                <w:color w:val="auto"/>
                <w:sz w:val="18"/>
                <w:highlight w:val="none"/>
              </w:rPr>
              <w:t xml:space="preserve"> 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万元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82347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-34.4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其中：住宅</w:t>
            </w:r>
            <w:r>
              <w:rPr>
                <w:rFonts w:ascii="Arial" w:hAnsi="宋体"/>
                <w:color w:val="auto"/>
                <w:sz w:val="18"/>
                <w:highlight w:val="none"/>
              </w:rPr>
              <w:t xml:space="preserve"> 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万元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82347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本年购置土地面积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—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施工面积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2477287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其中：住宅</w:t>
            </w:r>
            <w:r>
              <w:rPr>
                <w:rFonts w:ascii="Arial" w:hAnsi="宋体"/>
                <w:color w:val="auto"/>
                <w:sz w:val="18"/>
                <w:highlight w:val="none"/>
              </w:rPr>
              <w:t xml:space="preserve"> 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1982864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其中：新开工面积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291983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       #住宅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216818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#竣工面积</w:t>
            </w:r>
            <w:r>
              <w:rPr>
                <w:rFonts w:ascii="Arial" w:hAnsi="宋体"/>
                <w:color w:val="auto"/>
                <w:sz w:val="18"/>
                <w:highlight w:val="none"/>
              </w:rPr>
              <w:t xml:space="preserve"> 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—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其中：住宅</w:t>
            </w:r>
            <w:r>
              <w:rPr>
                <w:rFonts w:ascii="Arial" w:hAnsi="宋体"/>
                <w:color w:val="auto"/>
                <w:sz w:val="18"/>
                <w:highlight w:val="none"/>
              </w:rPr>
              <w:t xml:space="preserve"> 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—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#商品房销售面积</w:t>
            </w:r>
            <w:r>
              <w:rPr>
                <w:rFonts w:ascii="Arial" w:hAnsi="宋体"/>
                <w:color w:val="auto"/>
                <w:sz w:val="18"/>
                <w:highlight w:val="none"/>
              </w:rPr>
              <w:t xml:space="preserve"> 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126228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2543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其中：住宅</w:t>
            </w:r>
            <w:r>
              <w:rPr>
                <w:rFonts w:ascii="Arial" w:hAnsi="宋体"/>
                <w:color w:val="auto"/>
                <w:sz w:val="18"/>
                <w:highlight w:val="none"/>
              </w:rPr>
              <w:t xml:space="preserve"> </w:t>
            </w:r>
          </w:p>
        </w:tc>
        <w:tc>
          <w:tcPr>
            <w:tcW w:w="1061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126228</w:t>
            </w:r>
          </w:p>
        </w:tc>
        <w:tc>
          <w:tcPr>
            <w:tcW w:w="119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-38.9</w:t>
            </w:r>
          </w:p>
        </w:tc>
      </w:tr>
    </w:tbl>
    <w:p>
      <w:pPr>
        <w:shd w:val="clear" w:color="auto" w:fill="auto"/>
        <w:wordWrap w:val="0"/>
        <w:ind w:right="720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社会消费品零售总额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18"/>
          <w:highlight w:val="none"/>
        </w:rPr>
        <w:t>单位：万元</w:t>
      </w:r>
      <w:r>
        <w:rPr>
          <w:rFonts w:hint="eastAsia" w:ascii="宋体" w:hAnsi="宋体"/>
          <w:color w:val="auto"/>
          <w:sz w:val="18"/>
          <w:highlight w:val="none"/>
        </w:rPr>
        <w:t xml:space="preserve">、% </w:t>
      </w:r>
    </w:p>
    <w:tbl>
      <w:tblPr>
        <w:tblStyle w:val="88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257"/>
        <w:gridCol w:w="1597"/>
        <w:gridCol w:w="138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3257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指    标</w:t>
            </w:r>
          </w:p>
        </w:tc>
        <w:tc>
          <w:tcPr>
            <w:tcW w:w="1597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1-本月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增长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b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18"/>
                <w:highlight w:val="none"/>
              </w:rPr>
              <w:t>社会消费品零售总额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</w:rPr>
              <w:t>634677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12.6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#批发零售贸易业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  <w:t>—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住宿和餐饮业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  <w:t>—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#限上企业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98135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限下企业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536541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13.0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  <w:t>商品零售额分类别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#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粮油、食品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4307.9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饮料类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1946.6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203.4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   烟酒类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522.7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服装、鞋帽、针纺织品类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18175.8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43.1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化妆品类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1154.6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-26.1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金银珠宝类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sz w:val="18"/>
                <w:szCs w:val="18"/>
              </w:rPr>
              <w:t>246.0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sz w:val="18"/>
                <w:szCs w:val="18"/>
              </w:rPr>
              <w:t>-60.0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日用品类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818.2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-22.4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体育娱乐用品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32.8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25.7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书报杂志类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1454.6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auto"/>
                <w:sz w:val="10"/>
                <w:szCs w:val="10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 通讯器材类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215.0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中西药品类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4215.7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12.6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文化办公用品类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553.6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4.8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家具类</w:t>
            </w:r>
          </w:p>
        </w:tc>
        <w:tc>
          <w:tcPr>
            <w:tcW w:w="1597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tcW w:w="1383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-22.7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石油类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24350.3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-13.0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70" w:lineRule="exac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汽车类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>33702.4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26.9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财政、金融</w:t>
      </w:r>
    </w:p>
    <w:p>
      <w:pPr>
        <w:shd w:val="clear" w:color="auto" w:fill="auto"/>
        <w:wordWrap w:val="0"/>
        <w:jc w:val="right"/>
        <w:rPr>
          <w:rFonts w:hint="eastAsia"/>
          <w:color w:val="auto"/>
          <w:highlight w:val="none"/>
        </w:rPr>
      </w:pPr>
      <w:r>
        <w:rPr>
          <w:rFonts w:ascii="宋体" w:hAnsi="宋体"/>
          <w:color w:val="auto"/>
          <w:sz w:val="18"/>
          <w:highlight w:val="none"/>
        </w:rPr>
        <w:t>单位：</w:t>
      </w:r>
      <w:r>
        <w:rPr>
          <w:rFonts w:hint="eastAsia" w:ascii="宋体" w:hAnsi="宋体"/>
          <w:color w:val="auto"/>
          <w:sz w:val="18"/>
          <w:highlight w:val="none"/>
        </w:rPr>
        <w:t>万</w:t>
      </w:r>
      <w:r>
        <w:rPr>
          <w:rFonts w:ascii="宋体" w:hAnsi="宋体"/>
          <w:color w:val="auto"/>
          <w:sz w:val="18"/>
          <w:highlight w:val="none"/>
        </w:rPr>
        <w:t>元</w:t>
      </w:r>
      <w:r>
        <w:rPr>
          <w:rFonts w:hint="eastAsia" w:ascii="宋体" w:hAnsi="宋体"/>
          <w:color w:val="auto"/>
          <w:sz w:val="18"/>
          <w:highlight w:val="none"/>
        </w:rPr>
        <w:t xml:space="preserve">、%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3"/>
        <w:gridCol w:w="2492"/>
        <w:gridCol w:w="1252"/>
        <w:gridCol w:w="1252"/>
        <w:gridCol w:w="102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705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指   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标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本月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1-本月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textAlignment w:val="center"/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textAlignment w:val="center"/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  <w:t>地方财政总收入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87911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384844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地方财政收入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46803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254212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　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一般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公共预算收入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46054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238696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增值税(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含改征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)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27996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95134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企业所得税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7284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24125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-43.3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个人所得税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4553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城市维护建设税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2196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12261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-22.8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　政府性基金收入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15516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-37.2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地方财政支出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101933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493623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　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一般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公共预算支出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90252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395233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一般公共服务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19837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61600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教育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22556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76555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科学技术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2978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9898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社会保障与就业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12175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53843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卫生健康支出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11997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40837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节能环保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7216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 农林水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支出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13306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43088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　政府性基金支出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11681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98390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  <w:t>金融机构存款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highlight w:val="none"/>
              </w:rPr>
              <w:t>月末</w:t>
            </w:r>
            <w: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  <w:t>余额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5682040.9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#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住户存款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3582111.1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  <w:t>金融机构贷款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highlight w:val="none"/>
              </w:rPr>
              <w:t>月末</w:t>
            </w:r>
            <w: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  <w:t>余额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3592211.5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3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#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住户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贷款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1211484.5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492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w w:val="90"/>
                <w:sz w:val="18"/>
                <w:highlight w:val="none"/>
              </w:rPr>
              <w:t>企（事）业贷款</w:t>
            </w:r>
          </w:p>
        </w:tc>
        <w:tc>
          <w:tcPr>
            <w:tcW w:w="1252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2380726.9</w:t>
            </w:r>
          </w:p>
        </w:tc>
        <w:tc>
          <w:tcPr>
            <w:tcW w:w="1252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</w:p>
        </w:tc>
        <w:tc>
          <w:tcPr>
            <w:tcW w:w="1028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11.2 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物  价</w:t>
      </w:r>
    </w:p>
    <w:p>
      <w:pPr>
        <w:shd w:val="clear" w:color="auto" w:fill="auto"/>
        <w:jc w:val="center"/>
        <w:rPr>
          <w:rFonts w:hint="eastAsia"/>
          <w:color w:val="auto"/>
          <w:highlight w:val="none"/>
        </w:rPr>
      </w:pPr>
    </w:p>
    <w:tbl>
      <w:tblPr>
        <w:tblStyle w:val="88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6"/>
        <w:gridCol w:w="2879"/>
        <w:gridCol w:w="1640"/>
        <w:gridCol w:w="154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3055" w:type="dxa"/>
            <w:gridSpan w:val="2"/>
            <w:tcBorders>
              <w:top w:val="single" w:color="auto" w:sz="8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auto"/>
                <w:sz w:val="18"/>
                <w:highlight w:val="none"/>
              </w:rPr>
            </w:pPr>
            <w:r>
              <w:rPr>
                <w:color w:val="auto"/>
                <w:sz w:val="18"/>
                <w:highlight w:val="none"/>
              </w:rPr>
              <w:t>指      标</w:t>
            </w:r>
          </w:p>
        </w:tc>
        <w:tc>
          <w:tcPr>
            <w:tcW w:w="1640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auto"/>
                <w:sz w:val="18"/>
                <w:highlight w:val="none"/>
              </w:rPr>
            </w:pPr>
            <w:r>
              <w:rPr>
                <w:color w:val="auto"/>
                <w:sz w:val="18"/>
                <w:highlight w:val="none"/>
              </w:rPr>
              <w:t>环比 %</w:t>
            </w:r>
          </w:p>
        </w:tc>
        <w:tc>
          <w:tcPr>
            <w:tcW w:w="154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auto"/>
                <w:sz w:val="18"/>
                <w:highlight w:val="none"/>
              </w:rPr>
            </w:pPr>
            <w:r>
              <w:rPr>
                <w:color w:val="auto"/>
                <w:sz w:val="18"/>
                <w:highlight w:val="none"/>
              </w:rPr>
              <w:t>累计比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  <w:t>居民消费价格总指数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食品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烟酒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97.2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衣着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100.2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居住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生活用品及服务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交通和通信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教育文化和娱乐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医疗保健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100.5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其他用品和服务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102.2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  <w:t>商品零售价格总指数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99.2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食品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96.7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饮料、烟酒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100.4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服装、鞋帽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纺织品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家用电器及音像器材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99.4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文化办公用品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98.3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日用品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体育娱乐用品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交通、通信用品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99.6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家具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化妆品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金银珠宝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中西药品及医疗保健用品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100.7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书报杂志及电子出版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物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燃料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 xml:space="preserve">  建筑材料及五金电料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2879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  <w:t>农业生产资料价格指数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101.5</w:t>
            </w:r>
          </w:p>
        </w:tc>
        <w:tc>
          <w:tcPr>
            <w:tcW w:w="1542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110.2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分镇、街道工业增加值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18"/>
          <w:szCs w:val="18"/>
          <w:highlight w:val="none"/>
        </w:rPr>
        <w:t>单位:%</w:t>
      </w:r>
      <w:r>
        <w:rPr>
          <w:rFonts w:hint="eastAsia" w:ascii="宋体" w:hAnsi="宋体"/>
          <w:color w:val="auto"/>
          <w:sz w:val="18"/>
          <w:szCs w:val="18"/>
          <w:highlight w:val="none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212"/>
        <w:gridCol w:w="2174"/>
        <w:gridCol w:w="185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8" w:hRule="exact"/>
          <w:jc w:val="center"/>
        </w:trPr>
        <w:tc>
          <w:tcPr>
            <w:tcW w:w="2212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镇、街道</w:t>
            </w:r>
          </w:p>
        </w:tc>
        <w:tc>
          <w:tcPr>
            <w:tcW w:w="2174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当月增长</w:t>
            </w:r>
          </w:p>
        </w:tc>
        <w:tc>
          <w:tcPr>
            <w:tcW w:w="1851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累计增长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沁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园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济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水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16.9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北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海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30.1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天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坛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21.9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玉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泉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19.7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克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井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-20.3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五龙口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16.3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轵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城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33.5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承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留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邵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原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12.2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坡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头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29.6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梨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林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27.1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大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峪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26.2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思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礼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22.3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王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屋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13.7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2212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下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冶</w:t>
            </w:r>
          </w:p>
        </w:tc>
        <w:tc>
          <w:tcPr>
            <w:tcW w:w="2174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15.2 </w:t>
            </w:r>
          </w:p>
        </w:tc>
        <w:tc>
          <w:tcPr>
            <w:tcW w:w="1851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 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0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分镇、街道工业企业效益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增速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1-4月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）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18"/>
          <w:highlight w:val="none"/>
        </w:rPr>
        <w:t>单位：个</w:t>
      </w:r>
      <w:r>
        <w:rPr>
          <w:rFonts w:hint="eastAsia" w:ascii="宋体" w:hAnsi="宋体"/>
          <w:color w:val="auto"/>
          <w:sz w:val="18"/>
          <w:highlight w:val="none"/>
        </w:rPr>
        <w:t>、</w:t>
      </w:r>
      <w:r>
        <w:rPr>
          <w:rFonts w:ascii="宋体" w:hAnsi="宋体"/>
          <w:color w:val="auto"/>
          <w:sz w:val="18"/>
          <w:highlight w:val="none"/>
        </w:rPr>
        <w:t>%</w:t>
      </w:r>
      <w:r>
        <w:rPr>
          <w:rFonts w:hint="eastAsia" w:ascii="宋体" w:hAnsi="宋体"/>
          <w:color w:val="auto"/>
          <w:sz w:val="18"/>
          <w:highlight w:val="none"/>
        </w:rPr>
        <w:t xml:space="preserve"> </w:t>
      </w:r>
    </w:p>
    <w:tbl>
      <w:tblPr>
        <w:tblStyle w:val="88"/>
        <w:tblW w:w="61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227"/>
        <w:gridCol w:w="1227"/>
        <w:gridCol w:w="1227"/>
        <w:gridCol w:w="12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镇、街道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企业数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#亏损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22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利润总额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增长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增长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  计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183 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1228" w:type="dxa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沁  园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31.6 </w:t>
            </w:r>
          </w:p>
        </w:tc>
        <w:tc>
          <w:tcPr>
            <w:tcW w:w="1228" w:type="dxa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济  水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-20.6 </w:t>
            </w:r>
          </w:p>
        </w:tc>
        <w:tc>
          <w:tcPr>
            <w:tcW w:w="1228" w:type="dxa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  海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-2.4 </w:t>
            </w:r>
          </w:p>
        </w:tc>
        <w:tc>
          <w:tcPr>
            <w:tcW w:w="1228" w:type="dxa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  坛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-20.8 </w:t>
            </w:r>
          </w:p>
        </w:tc>
        <w:tc>
          <w:tcPr>
            <w:tcW w:w="1228" w:type="dxa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-37.5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玉  泉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1228" w:type="dxa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  井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-35.7 </w:t>
            </w:r>
          </w:p>
        </w:tc>
        <w:tc>
          <w:tcPr>
            <w:tcW w:w="1228" w:type="dxa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-40.9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五龙口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-34.1 </w:t>
            </w:r>
          </w:p>
        </w:tc>
        <w:tc>
          <w:tcPr>
            <w:tcW w:w="1228" w:type="dxa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-500.0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轵  城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-16.5 </w:t>
            </w:r>
          </w:p>
        </w:tc>
        <w:tc>
          <w:tcPr>
            <w:tcW w:w="1228" w:type="dxa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-23.8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承  留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 </w:t>
            </w:r>
          </w:p>
        </w:tc>
        <w:tc>
          <w:tcPr>
            <w:tcW w:w="1228" w:type="dxa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邵  原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-34.0 </w:t>
            </w:r>
          </w:p>
        </w:tc>
        <w:tc>
          <w:tcPr>
            <w:tcW w:w="1228" w:type="dxa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坡  头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-8.3 </w:t>
            </w:r>
          </w:p>
        </w:tc>
        <w:tc>
          <w:tcPr>
            <w:tcW w:w="1228" w:type="dxa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梨  林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228" w:type="dxa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-33.3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  峪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-13.8 </w:t>
            </w:r>
          </w:p>
        </w:tc>
        <w:tc>
          <w:tcPr>
            <w:tcW w:w="1228" w:type="dxa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-1100.0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思  礼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23.6 </w:t>
            </w:r>
          </w:p>
        </w:tc>
        <w:tc>
          <w:tcPr>
            <w:tcW w:w="1228" w:type="dxa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  屋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125.0 </w:t>
            </w:r>
          </w:p>
        </w:tc>
        <w:tc>
          <w:tcPr>
            <w:tcW w:w="1228" w:type="dxa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下  冶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2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-13.9 </w:t>
            </w:r>
          </w:p>
        </w:tc>
      </w:tr>
    </w:tbl>
    <w:p>
      <w:pPr>
        <w:shd w:val="clear" w:color="auto" w:fill="auto"/>
        <w:autoSpaceDN w:val="0"/>
        <w:jc w:val="center"/>
        <w:textAlignment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hd w:val="clear" w:color="auto" w:fill="auto"/>
        <w:autoSpaceDN w:val="0"/>
        <w:jc w:val="center"/>
        <w:textAlignment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分镇、街道综合能源消费量（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1-4月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）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18"/>
          <w:highlight w:val="none"/>
        </w:rPr>
        <w:t>单位:吨标准煤、%</w:t>
      </w:r>
      <w:r>
        <w:rPr>
          <w:rFonts w:hint="eastAsia" w:ascii="宋体" w:hAnsi="宋体"/>
          <w:color w:val="auto"/>
          <w:sz w:val="18"/>
          <w:highlight w:val="none"/>
        </w:rPr>
        <w:t xml:space="preserve"> </w:t>
      </w:r>
    </w:p>
    <w:tbl>
      <w:tblPr>
        <w:tblStyle w:val="88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90"/>
        <w:gridCol w:w="2157"/>
        <w:gridCol w:w="187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190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镇、街道</w:t>
            </w:r>
          </w:p>
        </w:tc>
        <w:tc>
          <w:tcPr>
            <w:tcW w:w="2157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综合能源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消费量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增加值能耗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降低率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沁  园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879 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济  水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96 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北  海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312 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-38.8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天  坛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13848 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玉  泉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2078 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-22.0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克  井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41361 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五龙口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6193 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轵  城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21995 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-17.5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承  留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62340 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邵  原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315 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-23.7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坡  头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294 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梨  林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857 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-24.2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大  峪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111 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-35.8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思  礼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51568 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-18.4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王  屋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10 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-34.1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tabs>
                <w:tab w:val="center" w:pos="1126"/>
                <w:tab w:val="right" w:pos="2132"/>
              </w:tabs>
              <w:autoSpaceDN w:val="0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ab/>
            </w:r>
            <w:r>
              <w:rPr>
                <w:rFonts w:ascii="宋体" w:hAnsi="宋体"/>
                <w:color w:val="auto"/>
                <w:sz w:val="18"/>
                <w:highlight w:val="none"/>
              </w:rPr>
              <w:t>下  冶</w:t>
            </w:r>
          </w:p>
        </w:tc>
        <w:tc>
          <w:tcPr>
            <w:tcW w:w="2157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358 </w:t>
            </w:r>
          </w:p>
        </w:tc>
        <w:tc>
          <w:tcPr>
            <w:tcW w:w="1873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-36.9 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分镇、街道固定资产投资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增速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Cs/>
          <w:color w:val="auto"/>
          <w:sz w:val="18"/>
          <w:highlight w:val="none"/>
        </w:rPr>
        <w:t xml:space="preserve">单位:% </w:t>
      </w:r>
    </w:p>
    <w:tbl>
      <w:tblPr>
        <w:tblStyle w:val="88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495"/>
        <w:gridCol w:w="274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34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  <w:t>镇、街道</w:t>
            </w:r>
          </w:p>
        </w:tc>
        <w:tc>
          <w:tcPr>
            <w:tcW w:w="2742" w:type="dxa"/>
            <w:tcBorders>
              <w:top w:val="single" w:color="auto" w:sz="8" w:space="0"/>
              <w:left w:val="single" w:color="000000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1-本月</w:t>
            </w:r>
            <w:r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3495" w:type="dxa"/>
            <w:tcBorders>
              <w:top w:val="single" w:color="auto" w:sz="8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示范区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2742" w:type="dxa"/>
            <w:tcBorders>
              <w:top w:val="single" w:color="auto" w:sz="8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-11.8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沁  园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-23.4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济  水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-16.2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北  海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-19.3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天  坛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-55.6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玉  泉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克  井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-23.1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五龙口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轵  城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承  留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邵  原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-12.8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坡  头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-48.5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梨  林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大  峪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思  礼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-28.6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王  屋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下  冶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11.1 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分镇、街道财政预算收支</w:t>
      </w:r>
    </w:p>
    <w:tbl>
      <w:tblPr>
        <w:tblStyle w:val="88"/>
        <w:tblpPr w:leftFromText="180" w:rightFromText="180" w:vertAnchor="text" w:horzAnchor="page" w:tblpX="1092" w:tblpY="411"/>
        <w:tblOverlap w:val="never"/>
        <w:tblW w:w="6237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72"/>
        <w:gridCol w:w="1167"/>
        <w:gridCol w:w="916"/>
        <w:gridCol w:w="1031"/>
        <w:gridCol w:w="95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</w:trPr>
        <w:tc>
          <w:tcPr>
            <w:tcW w:w="2172" w:type="dxa"/>
            <w:vMerge w:val="restart"/>
            <w:tcBorders>
              <w:top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镇、街道</w:t>
            </w:r>
          </w:p>
        </w:tc>
        <w:tc>
          <w:tcPr>
            <w:tcW w:w="2083" w:type="dxa"/>
            <w:gridSpan w:val="2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预算收入</w:t>
            </w: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预算支出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</w:trPr>
        <w:tc>
          <w:tcPr>
            <w:tcW w:w="217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1-本月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增长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1-本月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4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18"/>
                <w:highlight w:val="none"/>
              </w:rPr>
              <w:t>合  计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238696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395233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市  级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164307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10.7 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305820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镇(街道)小计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74389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-16.8 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89413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济  水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3071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-55.5 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天  坛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4198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3422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沁  园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6558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-9.9 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4903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北  海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15550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-11.5 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27009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玉  泉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6867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7.7 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3543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-26.6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克  井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2525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-18.2 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-29.2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五龙口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3467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-7.8 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2141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轵  城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2351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-46.2 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2929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承  留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6631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-26.9 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8811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思  礼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7481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-16.0 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梨  林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-17.5 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坡  头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1059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31.2 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2157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-25.2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大  峪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 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1849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王  屋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-50.4 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3273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下  冶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-10.2 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1922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-28.9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邵  原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1421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67.2 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2920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-9.9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5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虎岭（高新）开发区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7670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-16.9 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8780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4" w:hRule="atLeast"/>
        </w:trPr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35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玉川产业集聚区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2205</w:t>
            </w: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-15.5 </w:t>
            </w: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1595</w:t>
            </w: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208.5 </w:t>
            </w:r>
          </w:p>
        </w:tc>
      </w:tr>
    </w:tbl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Cs/>
          <w:color w:val="auto"/>
          <w:sz w:val="18"/>
          <w:highlight w:val="none"/>
        </w:rPr>
        <w:t xml:space="preserve">单位:万元、% </w:t>
      </w:r>
    </w:p>
    <w:p>
      <w:pPr>
        <w:shd w:val="clear" w:color="auto" w:fill="auto"/>
        <w:autoSpaceDN w:val="0"/>
        <w:ind w:right="258" w:rightChars="123"/>
        <w:jc w:val="right"/>
        <w:textAlignment w:val="bottom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sectPr>
          <w:pgSz w:w="8392" w:h="11907"/>
          <w:pgMar w:top="1134" w:right="1134" w:bottom="1134" w:left="1134" w:header="567" w:footer="851" w:gutter="0"/>
          <w:cols w:space="720" w:num="1"/>
          <w:docGrid w:type="lines" w:linePitch="310" w:charSpace="0"/>
        </w:sectPr>
      </w:pPr>
    </w:p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产业集聚区主要指标完成情况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18"/>
          <w:szCs w:val="18"/>
          <w:highlight w:val="none"/>
        </w:rPr>
        <w:t>单位：亿元</w:t>
      </w:r>
      <w:r>
        <w:rPr>
          <w:rFonts w:hint="eastAsia" w:ascii="宋体" w:hAnsi="宋体"/>
          <w:color w:val="auto"/>
          <w:sz w:val="18"/>
          <w:szCs w:val="18"/>
          <w:highlight w:val="none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855"/>
        <w:gridCol w:w="1066"/>
        <w:gridCol w:w="1134"/>
        <w:gridCol w:w="1197"/>
        <w:gridCol w:w="9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921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指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标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虎岭（高新）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玉川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185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营业收入</w:t>
            </w:r>
          </w:p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1-4月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完成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highlight w:val="none"/>
              </w:rPr>
              <w:t>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highlight w:val="none"/>
              </w:rPr>
              <w:t>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highlight w:val="none"/>
              </w:rPr>
              <w:t>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增长%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-5.3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利润总额</w:t>
            </w:r>
          </w:p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1-4月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完成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highlight w:val="none"/>
              </w:rPr>
              <w:t>－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highlight w:val="none"/>
              </w:rPr>
              <w:t>－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highlight w:val="none"/>
              </w:rPr>
              <w:t>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增长%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-5.6 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30.9 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-134.1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总产值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完成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409.8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232.0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177.8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18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增长%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-1.3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8.8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-12.0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增加值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完成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77.6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45.2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32.3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增长%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highlight w:val="none"/>
                <w:lang w:val="en-US" w:eastAsia="zh-CN"/>
              </w:rPr>
              <w:t>0.3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highlight w:val="none"/>
                <w:lang w:val="en-US" w:eastAsia="zh-CN"/>
              </w:rPr>
              <w:t>7.5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highlight w:val="none"/>
                <w:lang w:val="en-US" w:eastAsia="zh-CN"/>
              </w:rPr>
              <w:t>-10.1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固定资产投资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增长%</w:t>
            </w:r>
          </w:p>
        </w:tc>
        <w:tc>
          <w:tcPr>
            <w:tcW w:w="1134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-13.3</w:t>
            </w:r>
          </w:p>
        </w:tc>
        <w:tc>
          <w:tcPr>
            <w:tcW w:w="1197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-12.9</w:t>
            </w:r>
          </w:p>
        </w:tc>
        <w:tc>
          <w:tcPr>
            <w:tcW w:w="985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-13.9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施工项目（个）</w:t>
            </w: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完成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shd w:val="clear" w:color="auto" w:fill="FFFFFF"/>
                <w:lang w:val="en-US" w:eastAsia="zh-CN"/>
              </w:rPr>
              <w:t>75</w:t>
            </w:r>
          </w:p>
        </w:tc>
        <w:tc>
          <w:tcPr>
            <w:tcW w:w="1197" w:type="dxa"/>
            <w:tcBorders>
              <w:top w:val="nil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shd w:val="clear" w:color="auto" w:fill="FFFFFF"/>
                <w:lang w:val="en-US" w:eastAsia="zh-CN"/>
              </w:rPr>
              <w:t>44</w:t>
            </w:r>
          </w:p>
        </w:tc>
        <w:tc>
          <w:tcPr>
            <w:tcW w:w="985" w:type="dxa"/>
            <w:tcBorders>
              <w:top w:val="nil"/>
              <w:left w:val="single" w:color="000000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shd w:val="clear" w:color="auto" w:fill="FFFFFF"/>
                <w:lang w:val="en-US" w:eastAsia="zh-CN"/>
              </w:rPr>
              <w:t>31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分省辖市地区生产总值</w:t>
      </w:r>
    </w:p>
    <w:p>
      <w:pPr>
        <w:wordWrap w:val="0"/>
        <w:jc w:val="righ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18"/>
          <w:highlight w:val="none"/>
        </w:rPr>
        <w:t>单位:亿元、%</w:t>
      </w:r>
      <w:r>
        <w:rPr>
          <w:rFonts w:hint="eastAsia" w:ascii="宋体" w:hAnsi="宋体"/>
          <w:color w:val="auto"/>
          <w:sz w:val="18"/>
          <w:highlight w:val="none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39"/>
        <w:gridCol w:w="960"/>
        <w:gridCol w:w="738"/>
        <w:gridCol w:w="723"/>
        <w:gridCol w:w="890"/>
        <w:gridCol w:w="826"/>
        <w:gridCol w:w="76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6" w:hRule="exact"/>
          <w:jc w:val="center"/>
        </w:trPr>
        <w:tc>
          <w:tcPr>
            <w:tcW w:w="1339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市、县</w:t>
            </w:r>
          </w:p>
        </w:tc>
        <w:tc>
          <w:tcPr>
            <w:tcW w:w="2421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生产总值</w:t>
            </w: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  <w:lang w:eastAsia="zh-CN"/>
              </w:rPr>
              <w:t>（一</w:t>
            </w: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  <w:lang w:val="en-US" w:eastAsia="zh-CN"/>
              </w:rPr>
              <w:t>季度</w:t>
            </w: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  <w:lang w:eastAsia="zh-CN"/>
              </w:rPr>
              <w:t>）</w:t>
            </w:r>
          </w:p>
        </w:tc>
        <w:tc>
          <w:tcPr>
            <w:tcW w:w="2477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三次产业增速</w:t>
            </w: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  <w:lang w:eastAsia="zh-CN"/>
              </w:rPr>
              <w:t>（一</w:t>
            </w: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  <w:lang w:val="en-US" w:eastAsia="zh-CN"/>
              </w:rPr>
              <w:t>季度</w:t>
            </w: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6" w:hRule="exact"/>
          <w:jc w:val="center"/>
        </w:trPr>
        <w:tc>
          <w:tcPr>
            <w:tcW w:w="1339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绝对值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增长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位次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一产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二产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三产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18"/>
                <w:highlight w:val="none"/>
              </w:rPr>
              <w:t>全  省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b/>
                <w:bCs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18"/>
                <w:highlight w:val="none"/>
                <w:lang w:val="en-US" w:eastAsia="zh-CN"/>
              </w:rPr>
              <w:t>11510.15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b/>
                <w:bCs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18"/>
                <w:highlight w:val="none"/>
                <w:lang w:val="en-US" w:eastAsia="zh-CN"/>
              </w:rPr>
              <w:t>-6.7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/>
                <w:b/>
                <w:bCs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</w:rPr>
              <w:t>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b/>
                <w:bCs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18"/>
                <w:highlight w:val="none"/>
                <w:lang w:val="en-US" w:eastAsia="zh-CN"/>
              </w:rPr>
              <w:t>-9.7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b/>
                <w:bCs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18"/>
                <w:highlight w:val="none"/>
                <w:lang w:val="en-US" w:eastAsia="zh-CN"/>
              </w:rPr>
              <w:t>-8.1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b/>
                <w:bCs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18"/>
                <w:highlight w:val="none"/>
                <w:lang w:val="en-US" w:eastAsia="zh-CN"/>
              </w:rPr>
              <w:t>-4.9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郑  州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2469.77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-7.7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-9.3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-10.3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-5.9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开  封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495.50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-6.6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-9.1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-9.8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-3.0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洛  阳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1100.56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-4.9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-9.7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-7.5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-2.2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平顶山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514.03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-7.3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-9.9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-6.5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-7.9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安  阳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475.62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-4.1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-10.6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-1.9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-5.2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鹤  壁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211.24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-7.4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-14.1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-6.0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-9.3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新  乡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616.29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-6.1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-10.7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-7.2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-4.1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焦  作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590.54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-6.0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-9.3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-5.9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-5.8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濮  阳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313.90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-9.4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-9.3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-14.4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-5.9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许  昌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721.10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-8.4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-9.3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-8.8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-7.7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漯  河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336.53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-8.4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-12.6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-8.1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-8.1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三门峡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298.49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-5.7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-8.8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-6.3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-4.5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南  阳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804.79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-8.0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-9.2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-9.5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-6.5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商  丘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603.57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-5.7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-8.3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-8.6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-2.4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信  阳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542.59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-9.9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-10.9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-13.2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-6.9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周  口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666.58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-5.1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-9.0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-7.2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驻马店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595.53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-3.5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-9.3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-4.6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39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18"/>
                <w:highlight w:val="none"/>
              </w:rPr>
              <w:t>济  源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154.25</w:t>
            </w:r>
          </w:p>
        </w:tc>
        <w:tc>
          <w:tcPr>
            <w:tcW w:w="738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-4.0</w:t>
            </w:r>
          </w:p>
        </w:tc>
        <w:tc>
          <w:tcPr>
            <w:tcW w:w="723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-13.3</w:t>
            </w:r>
          </w:p>
        </w:tc>
        <w:tc>
          <w:tcPr>
            <w:tcW w:w="82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-4.1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-3.1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分省辖市工业增加值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ascii="宋体" w:hAnsi="宋体"/>
          <w:color w:val="auto"/>
          <w:sz w:val="18"/>
          <w:highlight w:val="none"/>
        </w:rPr>
        <w:t>单位:%</w:t>
      </w:r>
      <w:r>
        <w:rPr>
          <w:rFonts w:hint="eastAsia" w:ascii="宋体" w:hAnsi="宋体"/>
          <w:color w:val="auto"/>
          <w:sz w:val="18"/>
          <w:highlight w:val="none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98"/>
        <w:gridCol w:w="1112"/>
        <w:gridCol w:w="1112"/>
        <w:gridCol w:w="1109"/>
        <w:gridCol w:w="110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798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eastAsia="zh-CN"/>
              </w:rPr>
              <w:t>地</w:t>
            </w: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highlight w:val="none"/>
                <w:lang w:eastAsia="zh-CN"/>
              </w:rPr>
              <w:t>区</w:t>
            </w:r>
          </w:p>
        </w:tc>
        <w:tc>
          <w:tcPr>
            <w:tcW w:w="4439" w:type="dxa"/>
            <w:gridSpan w:val="4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工业增加值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798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当月</w:t>
            </w: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增长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位次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累计增长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18"/>
                <w:highlight w:val="none"/>
              </w:rPr>
              <w:t>全  省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郑  州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-3.1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开  封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洛  阳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-0.8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平顶山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安  阳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-1.5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鹤  壁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新  乡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焦  作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濮  阳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-3.7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许  昌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漯  河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三门峡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南  阳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-1.5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商  丘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-0.8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信  阳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-3.7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周  口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驻马店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18"/>
                <w:highlight w:val="none"/>
              </w:rPr>
              <w:t>济  源</w:t>
            </w:r>
          </w:p>
        </w:tc>
        <w:tc>
          <w:tcPr>
            <w:tcW w:w="1112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1112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110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</w:tbl>
    <w:p>
      <w:pPr>
        <w:shd w:val="clear" w:color="auto" w:fill="auto"/>
        <w:outlineLvl w:val="0"/>
        <w:rPr>
          <w:rFonts w:hint="eastAsia" w:ascii="宋体" w:hAnsi="宋体" w:cs="宋体"/>
          <w:color w:val="auto"/>
          <w:sz w:val="18"/>
          <w:szCs w:val="18"/>
          <w:highlight w:val="none"/>
        </w:rPr>
      </w:pPr>
      <w:r>
        <w:rPr>
          <w:rFonts w:hint="eastAsia" w:ascii="宋体" w:hAnsi="宋体" w:cs="宋体"/>
          <w:color w:val="auto"/>
          <w:sz w:val="18"/>
          <w:szCs w:val="18"/>
          <w:highlight w:val="none"/>
        </w:rPr>
        <w:t>注：省辖市数据（包含直管县）</w:t>
      </w:r>
    </w:p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分省辖市社会消费品零售总额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ascii="宋体" w:hAnsi="宋体"/>
          <w:color w:val="auto"/>
          <w:sz w:val="18"/>
          <w:highlight w:val="none"/>
        </w:rPr>
        <w:t>单位:亿元、%</w:t>
      </w:r>
      <w:r>
        <w:rPr>
          <w:rFonts w:hint="eastAsia" w:ascii="宋体" w:hAnsi="宋体"/>
          <w:color w:val="auto"/>
          <w:sz w:val="18"/>
          <w:highlight w:val="none"/>
        </w:rPr>
        <w:t xml:space="preserve"> </w:t>
      </w:r>
    </w:p>
    <w:tbl>
      <w:tblPr>
        <w:tblStyle w:val="88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26"/>
        <w:gridCol w:w="877"/>
        <w:gridCol w:w="878"/>
        <w:gridCol w:w="701"/>
        <w:gridCol w:w="874"/>
        <w:gridCol w:w="875"/>
        <w:gridCol w:w="70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2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eastAsia="zh-CN"/>
              </w:rPr>
              <w:t>地</w:t>
            </w: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highlight w:val="none"/>
                <w:lang w:eastAsia="zh-CN"/>
              </w:rPr>
              <w:t>区</w:t>
            </w:r>
          </w:p>
        </w:tc>
        <w:tc>
          <w:tcPr>
            <w:tcW w:w="4911" w:type="dxa"/>
            <w:gridSpan w:val="6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 xml:space="preserve">   社会消费品零售总额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26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本月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增长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位次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1-本月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增长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18"/>
                <w:highlight w:val="none"/>
              </w:rPr>
              <w:t>全  省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1868.3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2.1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—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8181.6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-13.6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郑  州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428.3 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2.0 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13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1869.6 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-13.7 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开  封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88.7 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2.2 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408.7 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-12.5 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洛  阳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176.7 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2.1 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742.8 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-12.9 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平顶山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81.3 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2.2 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354.2 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-16.1 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安  阳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71.2 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1.8 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16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301.4 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-14.6 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鹤  壁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21.4 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1.7 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17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94.6 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-14.6 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新  乡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78.7 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2.1 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341.6 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-12.4 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焦  作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73.4 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2.1 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322.7 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-12.9 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濮  阳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56.2 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1.6 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18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232.4 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-16.4 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许  昌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100.2 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2.0 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464.5 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-14.0 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漯  河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57.4 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2.3 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239.8 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-15.8 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三门峡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41.1 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2.1 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180.8 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-14.0 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南  阳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150.4 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2.2 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676.2 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-15.1 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商  丘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110.7 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2.2 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502.1 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-12.0 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信  阳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91.1 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1.9 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15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400.7 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-14.9 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周  口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138.3 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2.2 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604.4 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-11.5 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驻马店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87.1 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2.3 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381.6 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-11.6 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bottom w:val="single" w:color="auto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18"/>
                <w:highlight w:val="none"/>
              </w:rPr>
              <w:t>济  源</w:t>
            </w:r>
          </w:p>
        </w:tc>
        <w:tc>
          <w:tcPr>
            <w:tcW w:w="877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15.9 </w:t>
            </w:r>
          </w:p>
        </w:tc>
        <w:tc>
          <w:tcPr>
            <w:tcW w:w="878" w:type="dxa"/>
            <w:tcBorders>
              <w:left w:val="single" w:color="000000" w:sz="4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2.1 </w:t>
            </w:r>
          </w:p>
        </w:tc>
        <w:tc>
          <w:tcPr>
            <w:tcW w:w="701" w:type="dxa"/>
            <w:tcBorders>
              <w:left w:val="single" w:color="000000" w:sz="4" w:space="0"/>
              <w:bottom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8</w:t>
            </w:r>
          </w:p>
        </w:tc>
        <w:tc>
          <w:tcPr>
            <w:tcW w:w="874" w:type="dxa"/>
            <w:tcBorders>
              <w:left w:val="single" w:color="000000" w:sz="4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63.5 </w:t>
            </w:r>
          </w:p>
        </w:tc>
        <w:tc>
          <w:tcPr>
            <w:tcW w:w="875" w:type="dxa"/>
            <w:tcBorders>
              <w:left w:val="single" w:color="000000" w:sz="4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-12.6 </w:t>
            </w:r>
          </w:p>
        </w:tc>
        <w:tc>
          <w:tcPr>
            <w:tcW w:w="706" w:type="dxa"/>
            <w:tcBorders>
              <w:left w:val="single" w:color="000000" w:sz="4" w:space="0"/>
              <w:bottom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6</w:t>
            </w:r>
          </w:p>
        </w:tc>
      </w:tr>
    </w:tbl>
    <w:p>
      <w:pPr>
        <w:shd w:val="clear" w:color="auto" w:fill="auto"/>
        <w:outlineLvl w:val="0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18"/>
          <w:szCs w:val="18"/>
          <w:highlight w:val="none"/>
        </w:rPr>
        <w:t>注：省辖市数据（包含直管县）</w:t>
      </w:r>
    </w:p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分省辖市综合能源消费量（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1-4月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）</w:t>
      </w:r>
    </w:p>
    <w:p>
      <w:pPr>
        <w:shd w:val="clear" w:color="auto" w:fill="auto"/>
        <w:wordWrap w:val="0"/>
        <w:jc w:val="right"/>
        <w:rPr>
          <w:rFonts w:hint="eastAsia"/>
          <w:color w:val="auto"/>
          <w:highlight w:val="none"/>
        </w:rPr>
      </w:pPr>
      <w:r>
        <w:rPr>
          <w:rFonts w:ascii="宋体" w:hAnsi="宋体"/>
          <w:color w:val="auto"/>
          <w:sz w:val="18"/>
          <w:highlight w:val="none"/>
        </w:rPr>
        <w:t>单位:</w:t>
      </w:r>
      <w:r>
        <w:rPr>
          <w:rFonts w:hint="eastAsia" w:ascii="宋体" w:hAnsi="宋体"/>
          <w:color w:val="auto"/>
          <w:sz w:val="18"/>
          <w:highlight w:val="none"/>
        </w:rPr>
        <w:t>万</w:t>
      </w:r>
      <w:r>
        <w:rPr>
          <w:rFonts w:ascii="宋体" w:hAnsi="宋体"/>
          <w:color w:val="auto"/>
          <w:sz w:val="18"/>
          <w:highlight w:val="none"/>
        </w:rPr>
        <w:t>吨标准煤、%</w:t>
      </w:r>
      <w:r>
        <w:rPr>
          <w:rFonts w:hint="eastAsia" w:ascii="宋体" w:hAnsi="宋体"/>
          <w:color w:val="auto"/>
          <w:sz w:val="18"/>
          <w:highlight w:val="none"/>
        </w:rPr>
        <w:t xml:space="preserve"> </w:t>
      </w:r>
    </w:p>
    <w:tbl>
      <w:tblPr>
        <w:tblStyle w:val="88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0"/>
        <w:gridCol w:w="1213"/>
        <w:gridCol w:w="920"/>
        <w:gridCol w:w="1338"/>
        <w:gridCol w:w="101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1750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eastAsia="zh-CN"/>
              </w:rPr>
              <w:t>地</w:t>
            </w: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highlight w:val="none"/>
                <w:lang w:eastAsia="zh-CN"/>
              </w:rPr>
              <w:t>区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综合能源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消费量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增长</w:t>
            </w:r>
          </w:p>
        </w:tc>
        <w:tc>
          <w:tcPr>
            <w:tcW w:w="1338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增加值能耗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降低率</w:t>
            </w:r>
          </w:p>
        </w:tc>
        <w:tc>
          <w:tcPr>
            <w:tcW w:w="1016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降低率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18"/>
                <w:highlight w:val="none"/>
              </w:rPr>
              <w:t>全  省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3857.06 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-8.6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-5.88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郑  州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407.64 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-4.4 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1.27 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16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开  封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90.87 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-34.6 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-32.04 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洛  阳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406.49 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-12.9 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-10.28 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平顶山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333.95 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-5.5 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-6.61 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安  阳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471.46 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6.4 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3.95 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鹤  壁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122.62 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20.1 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21.77 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18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新  乡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282.99 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-5.2 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-4.26 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焦  作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286.72 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-10.8 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-8.94 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濮  阳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169.45 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-10.7 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-5.50 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许  昌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123.90 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-2.7 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-0.98 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15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漯  河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67.00 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-5.9 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-2.66 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三门峡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187.98 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-31.2 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-30.22 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南  阳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184.76 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-14.3 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-11.03 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商  丘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217.93 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-4.7 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-1.83 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13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信  阳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118.24 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-9.1 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-1.82 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周  口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49.17 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-11.5 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-8.84 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驻马店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127.94 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-10.5 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-9.35 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bCs w:val="0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bCs w:val="0"/>
                <w:color w:val="auto"/>
                <w:sz w:val="18"/>
                <w:highlight w:val="none"/>
              </w:rPr>
              <w:t>济  源</w:t>
            </w:r>
          </w:p>
        </w:tc>
        <w:tc>
          <w:tcPr>
            <w:tcW w:w="1213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207.98 </w:t>
            </w:r>
          </w:p>
        </w:tc>
        <w:tc>
          <w:tcPr>
            <w:tcW w:w="920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-11.9 </w:t>
            </w:r>
          </w:p>
        </w:tc>
        <w:tc>
          <w:tcPr>
            <w:tcW w:w="1338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-12.08 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3</w:t>
            </w:r>
          </w:p>
        </w:tc>
      </w:tr>
    </w:tbl>
    <w:p>
      <w:pPr>
        <w:shd w:val="clear" w:color="auto" w:fill="auto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 xml:space="preserve">     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 xml:space="preserve">  分省辖市全社会用电量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18"/>
          <w:highlight w:val="none"/>
        </w:rPr>
        <w:t>单位:</w:t>
      </w:r>
      <w:r>
        <w:rPr>
          <w:rFonts w:hint="eastAsia" w:ascii="宋体" w:hAnsi="宋体"/>
          <w:color w:val="auto"/>
          <w:sz w:val="18"/>
          <w:highlight w:val="none"/>
        </w:rPr>
        <w:t>亿千瓦时、</w:t>
      </w:r>
      <w:r>
        <w:rPr>
          <w:rFonts w:ascii="宋体" w:hAnsi="宋体"/>
          <w:color w:val="auto"/>
          <w:sz w:val="18"/>
          <w:highlight w:val="none"/>
        </w:rPr>
        <w:t>%</w:t>
      </w:r>
      <w:r>
        <w:rPr>
          <w:rFonts w:hint="eastAsia" w:ascii="宋体" w:hAnsi="宋体"/>
          <w:color w:val="auto"/>
          <w:sz w:val="18"/>
          <w:highlight w:val="none"/>
        </w:rPr>
        <w:t xml:space="preserve"> </w:t>
      </w:r>
    </w:p>
    <w:tbl>
      <w:tblPr>
        <w:tblStyle w:val="88"/>
        <w:tblW w:w="597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769"/>
        <w:gridCol w:w="769"/>
        <w:gridCol w:w="769"/>
        <w:gridCol w:w="769"/>
        <w:gridCol w:w="769"/>
        <w:gridCol w:w="7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名  称</w:t>
            </w:r>
          </w:p>
        </w:tc>
        <w:tc>
          <w:tcPr>
            <w:tcW w:w="46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全社会用电量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同比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位次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累计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同比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b/>
                <w:color w:val="auto"/>
                <w:sz w:val="18"/>
                <w:highlight w:val="none"/>
              </w:rPr>
              <w:t>全  省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274.9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—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1275.8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郑  州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39.4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-3.9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202.0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-12.6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开  封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-10.6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洛  阳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-3.8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158.6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-13.5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平顶山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-7.1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安  阳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-2.8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鹤  壁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-3.9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新  乡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-7.0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焦  作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93.3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-5.1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濮  阳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17.8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许  昌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-6.5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漯  河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-7.9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三门峡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-4.0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-29.9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南  阳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19.4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-3.9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商  丘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-21.9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信  阳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52.8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-4.1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周  口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驻马店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-10.5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b/>
                <w:color w:val="auto"/>
                <w:sz w:val="18"/>
                <w:highlight w:val="none"/>
              </w:rPr>
              <w:t>济  源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-5.3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分省辖市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eastAsia="zh-CN"/>
        </w:rPr>
        <w:t>工业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用电量</w:t>
      </w:r>
    </w:p>
    <w:tbl>
      <w:tblPr>
        <w:tblStyle w:val="88"/>
        <w:tblpPr w:leftFromText="180" w:rightFromText="180" w:vertAnchor="text" w:horzAnchor="page" w:tblpX="1256" w:tblpY="467"/>
        <w:tblOverlap w:val="never"/>
        <w:tblW w:w="597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769"/>
        <w:gridCol w:w="769"/>
        <w:gridCol w:w="769"/>
        <w:gridCol w:w="769"/>
        <w:gridCol w:w="769"/>
        <w:gridCol w:w="7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名  称</w:t>
            </w:r>
          </w:p>
        </w:tc>
        <w:tc>
          <w:tcPr>
            <w:tcW w:w="46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工业用电量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同比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位次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累计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同比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60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b/>
                <w:color w:val="auto"/>
                <w:sz w:val="18"/>
                <w:highlight w:val="none"/>
              </w:rPr>
              <w:t>全  省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187.9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—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751.2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郑  州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-14.5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开  封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-17.7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洛  阳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-5.1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118.9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-15.1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平顶山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-4.4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-11.2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安  阳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-1.9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49.6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-8.1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鹤  壁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-1.3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13.1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-10.0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新  乡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58.8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-10.2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焦  作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-5.8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濮  阳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21.4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许  昌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-8.3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漯  河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15.6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-8.3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三门峡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-6.9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27.1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-38.8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南  阳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46.4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-9.2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商  丘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-29.6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-43.4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信  阳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-13.6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周  口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-14.2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驻马店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-14.2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b/>
                <w:color w:val="auto"/>
                <w:sz w:val="18"/>
                <w:highlight w:val="none"/>
              </w:rPr>
              <w:t>济  源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-5.8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</w:tbl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00"/>
        </w:rPr>
      </w:pPr>
      <w:r>
        <w:rPr>
          <w:rFonts w:ascii="宋体" w:hAnsi="宋体"/>
          <w:color w:val="auto"/>
          <w:sz w:val="18"/>
          <w:highlight w:val="none"/>
        </w:rPr>
        <w:t>单位:</w:t>
      </w:r>
      <w:r>
        <w:rPr>
          <w:rFonts w:hint="eastAsia" w:ascii="宋体" w:hAnsi="宋体"/>
          <w:color w:val="auto"/>
          <w:sz w:val="18"/>
          <w:highlight w:val="none"/>
        </w:rPr>
        <w:t>亿千瓦时、</w:t>
      </w:r>
      <w:r>
        <w:rPr>
          <w:rFonts w:ascii="宋体" w:hAnsi="宋体"/>
          <w:color w:val="auto"/>
          <w:sz w:val="18"/>
          <w:highlight w:val="none"/>
        </w:rPr>
        <w:t>%</w:t>
      </w:r>
      <w:r>
        <w:rPr>
          <w:rFonts w:hint="eastAsia" w:ascii="宋体" w:hAnsi="宋体"/>
          <w:color w:val="auto"/>
          <w:sz w:val="18"/>
          <w:highlight w:val="none"/>
        </w:rPr>
        <w:t xml:space="preserve"> </w:t>
      </w:r>
    </w:p>
    <w:p>
      <w:pPr>
        <w:shd w:val="clear" w:color="auto" w:fill="auto"/>
        <w:jc w:val="center"/>
        <w:outlineLvl w:val="0"/>
        <w:rPr>
          <w:rFonts w:hint="default" w:ascii="黑体" w:hAnsi="黑体" w:eastAsia="黑体" w:cs="黑体"/>
          <w:color w:val="auto"/>
          <w:sz w:val="32"/>
          <w:szCs w:val="32"/>
          <w:highlight w:val="none"/>
          <w:shd w:val="clear" w:color="auto" w:fill="FFFF0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分省辖市固定资产投资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1-4月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eastAsia="zh-CN"/>
        </w:rPr>
        <w:t>）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18"/>
          <w:highlight w:val="none"/>
        </w:rPr>
        <w:t>单位:%</w:t>
      </w:r>
      <w:r>
        <w:rPr>
          <w:rFonts w:hint="eastAsia" w:ascii="宋体" w:hAnsi="宋体"/>
          <w:color w:val="auto"/>
          <w:sz w:val="18"/>
          <w:highlight w:val="none"/>
        </w:rPr>
        <w:t xml:space="preserve"> </w:t>
      </w:r>
    </w:p>
    <w:tbl>
      <w:tblPr>
        <w:tblStyle w:val="88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69"/>
        <w:gridCol w:w="1300"/>
        <w:gridCol w:w="1095"/>
        <w:gridCol w:w="1213"/>
        <w:gridCol w:w="96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5" w:hRule="exact"/>
          <w:jc w:val="center"/>
        </w:trPr>
        <w:tc>
          <w:tcPr>
            <w:tcW w:w="1669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市、县</w:t>
            </w:r>
          </w:p>
        </w:tc>
        <w:tc>
          <w:tcPr>
            <w:tcW w:w="23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固定资产投资</w:t>
            </w:r>
          </w:p>
        </w:tc>
        <w:tc>
          <w:tcPr>
            <w:tcW w:w="21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  <w:shd w:val="clear" w:color="auto" w:fill="auto"/>
              </w:rPr>
              <w:t>#房地产投资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5" w:hRule="exact"/>
          <w:jc w:val="center"/>
        </w:trPr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增长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位次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增长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highlight w:val="none"/>
              </w:rPr>
              <w:t>全  省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-1.1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郑  州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-0.6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5.5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开  封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-1.1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洛  阳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-0.7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平顶山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-10.4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安  阳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-8.8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20.7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鹤  壁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-0.1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新  乡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-0.9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焦  作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-0.8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-14.1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濮  阳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-9.4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-2.1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许  昌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-17.2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漯  河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-1.4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19.4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三门峡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-1.1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5.5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南  阳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-3.9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-15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商  丘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-5.3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信  阳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-9.3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周  口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-1.8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1.9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驻马店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-4.3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73" w:hRule="atLeast"/>
          <w:jc w:val="center"/>
        </w:trPr>
        <w:tc>
          <w:tcPr>
            <w:tcW w:w="1669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highlight w:val="none"/>
              </w:rPr>
              <w:t>济  源</w:t>
            </w:r>
          </w:p>
        </w:tc>
        <w:tc>
          <w:tcPr>
            <w:tcW w:w="1300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-5.9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9.4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</w:tr>
    </w:tbl>
    <w:p>
      <w:pPr>
        <w:shd w:val="clear" w:color="auto" w:fill="auto"/>
        <w:autoSpaceDN w:val="0"/>
        <w:ind w:right="258" w:rightChars="123"/>
        <w:jc w:val="center"/>
        <w:textAlignment w:val="bottom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分省辖市居民人均可支配收入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一季度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）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18"/>
          <w:highlight w:val="none"/>
        </w:rPr>
        <w:t>单位:元、%</w:t>
      </w:r>
      <w:r>
        <w:rPr>
          <w:rFonts w:hint="eastAsia" w:ascii="宋体" w:hAnsi="宋体"/>
          <w:color w:val="auto"/>
          <w:sz w:val="18"/>
          <w:highlight w:val="none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36"/>
        <w:gridCol w:w="915"/>
        <w:gridCol w:w="765"/>
        <w:gridCol w:w="723"/>
        <w:gridCol w:w="896"/>
        <w:gridCol w:w="764"/>
        <w:gridCol w:w="73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5" w:hRule="exact"/>
          <w:jc w:val="center"/>
        </w:trPr>
        <w:tc>
          <w:tcPr>
            <w:tcW w:w="143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市、县</w:t>
            </w:r>
          </w:p>
        </w:tc>
        <w:tc>
          <w:tcPr>
            <w:tcW w:w="2403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城镇居民</w:t>
            </w:r>
          </w:p>
        </w:tc>
        <w:tc>
          <w:tcPr>
            <w:tcW w:w="2398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农村居民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5" w:hRule="exact"/>
          <w:jc w:val="center"/>
        </w:trPr>
        <w:tc>
          <w:tcPr>
            <w:tcW w:w="1436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Cs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val="en-US" w:eastAsia="zh-CN"/>
              </w:rPr>
              <w:t>一季度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增长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位次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Cs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val="en-US" w:eastAsia="zh-CN"/>
              </w:rPr>
              <w:t>一季度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增长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18"/>
                <w:highlight w:val="none"/>
              </w:rPr>
              <w:t>全  省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9088.2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—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3939.9 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郑  州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10836.5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7317.3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3.7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开  封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7668.5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3597.1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洛  阳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10129.9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4325.8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平顶山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9360.3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3583.2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安  阳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8640.5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4169.6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鹤  壁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8641.1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3971.3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新  乡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8803.6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3991.0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焦  作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9200.5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5603.6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濮  阳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8624.5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3174.8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许  昌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9672.7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4005.4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漯  河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8767.5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4127.9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三门峡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8888.4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4009.0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南  阳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8872.4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3559.8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商  丘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8752.1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3310.7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信  阳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8424.6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3596.6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周  口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7807.8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3308.6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驻马店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8566.4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3461.4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87" w:hRule="atLeast"/>
          <w:jc w:val="center"/>
        </w:trPr>
        <w:tc>
          <w:tcPr>
            <w:tcW w:w="1436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18"/>
                <w:highlight w:val="none"/>
              </w:rPr>
              <w:t>济  源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9270.3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723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7005.3 </w:t>
            </w:r>
          </w:p>
        </w:tc>
        <w:tc>
          <w:tcPr>
            <w:tcW w:w="764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738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分省辖市建筑业总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产值、商品房销售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18"/>
          <w:highlight w:val="none"/>
        </w:rPr>
        <w:t>单位:亿元、</w:t>
      </w:r>
      <w:r>
        <w:rPr>
          <w:rFonts w:hint="eastAsia" w:ascii="宋体" w:hAnsi="宋体"/>
          <w:color w:val="auto"/>
          <w:sz w:val="18"/>
          <w:highlight w:val="none"/>
        </w:rPr>
        <w:t>万平方米、</w:t>
      </w:r>
      <w:r>
        <w:rPr>
          <w:rFonts w:ascii="宋体" w:hAnsi="宋体"/>
          <w:color w:val="auto"/>
          <w:sz w:val="18"/>
          <w:highlight w:val="none"/>
        </w:rPr>
        <w:t>%</w:t>
      </w:r>
      <w:r>
        <w:rPr>
          <w:rFonts w:hint="eastAsia" w:ascii="宋体" w:hAnsi="宋体"/>
          <w:color w:val="auto"/>
          <w:sz w:val="18"/>
          <w:highlight w:val="none"/>
        </w:rPr>
        <w:t xml:space="preserve"> </w:t>
      </w:r>
    </w:p>
    <w:tbl>
      <w:tblPr>
        <w:tblStyle w:val="88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36"/>
        <w:gridCol w:w="922"/>
        <w:gridCol w:w="778"/>
        <w:gridCol w:w="703"/>
        <w:gridCol w:w="896"/>
        <w:gridCol w:w="764"/>
        <w:gridCol w:w="73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5" w:hRule="exact"/>
          <w:jc w:val="center"/>
        </w:trPr>
        <w:tc>
          <w:tcPr>
            <w:tcW w:w="143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市、县</w:t>
            </w:r>
          </w:p>
        </w:tc>
        <w:tc>
          <w:tcPr>
            <w:tcW w:w="2403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建筑业总产值</w:t>
            </w: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  <w:lang w:eastAsia="zh-CN"/>
              </w:rPr>
              <w:t>（一季度）</w:t>
            </w:r>
          </w:p>
        </w:tc>
        <w:tc>
          <w:tcPr>
            <w:tcW w:w="2398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  <w:shd w:val="clear" w:color="auto" w:fill="auto"/>
              </w:rPr>
              <w:t>商品房销售面积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5" w:hRule="exact"/>
          <w:jc w:val="center"/>
        </w:trPr>
        <w:tc>
          <w:tcPr>
            <w:tcW w:w="1436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Cs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val="en-US" w:eastAsia="zh-CN"/>
              </w:rPr>
              <w:t>1-本季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增长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位次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1-本月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增长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18"/>
                <w:highlight w:val="none"/>
              </w:rPr>
              <w:t>全  省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2144.71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-7.6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—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3742.67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  <w:highlight w:val="none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郑  州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695.82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-9.0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830.90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-21.8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开  封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90.06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-11.8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167.16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洛  阳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201.62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5.1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287.91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平顶山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30.65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-23.2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121.28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-12.7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安  阳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225.38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-7.6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182.73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鹤  壁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15.39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1.8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71.81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新  乡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163.03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-7.2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207.77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-15.5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焦  作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20.6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68.24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濮  阳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45.0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-19.5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132.07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许  昌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24.4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-30.5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144.99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-18.1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漯  河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20.3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-16.9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86.61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17.7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三门峡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38.7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-1.7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60.90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南  阳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102.2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-13.0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211.86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-12.3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商  丘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98.4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-12.3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337.25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-4.4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信  阳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112.4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-11.5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261.09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-1.5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周  口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115.6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-1.5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211.79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驻马店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134.0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6.9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345.72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-5.4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87" w:hRule="atLeast"/>
          <w:jc w:val="center"/>
        </w:trPr>
        <w:tc>
          <w:tcPr>
            <w:tcW w:w="1436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bCs w:val="0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bCs w:val="0"/>
                <w:color w:val="auto"/>
                <w:sz w:val="18"/>
                <w:highlight w:val="none"/>
              </w:rPr>
              <w:t>济  源</w:t>
            </w:r>
          </w:p>
        </w:tc>
        <w:tc>
          <w:tcPr>
            <w:tcW w:w="922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11.4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-21.7</w:t>
            </w:r>
          </w:p>
        </w:tc>
        <w:tc>
          <w:tcPr>
            <w:tcW w:w="703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9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12.62</w:t>
            </w:r>
          </w:p>
        </w:tc>
        <w:tc>
          <w:tcPr>
            <w:tcW w:w="764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-50.4</w:t>
            </w:r>
          </w:p>
        </w:tc>
        <w:tc>
          <w:tcPr>
            <w:tcW w:w="738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</w:tbl>
    <w:p>
      <w:pPr>
        <w:shd w:val="clear" w:color="auto" w:fill="auto"/>
        <w:spacing w:line="20" w:lineRule="exact"/>
        <w:rPr>
          <w:rFonts w:hint="eastAsia" w:ascii="仿宋" w:hAnsi="仿宋" w:eastAsia="仿宋" w:cs="仿宋"/>
          <w:color w:val="auto"/>
          <w:highlight w:val="none"/>
        </w:rPr>
      </w:pPr>
    </w:p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分省辖市进出口总值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18"/>
          <w:highlight w:val="none"/>
        </w:rPr>
        <w:t>单位:</w:t>
      </w:r>
      <w:r>
        <w:rPr>
          <w:rFonts w:hint="eastAsia" w:ascii="宋体" w:hAnsi="宋体"/>
          <w:color w:val="auto"/>
          <w:sz w:val="18"/>
          <w:highlight w:val="none"/>
        </w:rPr>
        <w:t>亿</w:t>
      </w:r>
      <w:r>
        <w:rPr>
          <w:rFonts w:ascii="宋体" w:hAnsi="宋体"/>
          <w:color w:val="auto"/>
          <w:sz w:val="18"/>
          <w:highlight w:val="none"/>
        </w:rPr>
        <w:t>元、%</w:t>
      </w:r>
      <w:r>
        <w:rPr>
          <w:rFonts w:hint="eastAsia" w:ascii="宋体" w:hAnsi="宋体"/>
          <w:color w:val="auto"/>
          <w:sz w:val="18"/>
          <w:highlight w:val="none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68"/>
        <w:gridCol w:w="924"/>
        <w:gridCol w:w="805"/>
        <w:gridCol w:w="605"/>
        <w:gridCol w:w="935"/>
        <w:gridCol w:w="805"/>
        <w:gridCol w:w="59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68" w:type="dxa"/>
            <w:vMerge w:val="restart"/>
            <w:tcBorders>
              <w:top w:val="single" w:color="auto" w:sz="8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市、县</w:t>
            </w:r>
          </w:p>
        </w:tc>
        <w:tc>
          <w:tcPr>
            <w:tcW w:w="2334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进出口总值</w:t>
            </w:r>
          </w:p>
        </w:tc>
        <w:tc>
          <w:tcPr>
            <w:tcW w:w="2335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#出口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6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9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1-本月</w:t>
            </w:r>
          </w:p>
        </w:tc>
        <w:tc>
          <w:tcPr>
            <w:tcW w:w="8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增长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位次</w:t>
            </w:r>
          </w:p>
        </w:tc>
        <w:tc>
          <w:tcPr>
            <w:tcW w:w="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1-本月</w:t>
            </w:r>
          </w:p>
        </w:tc>
        <w:tc>
          <w:tcPr>
            <w:tcW w:w="8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增长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highlight w:val="none"/>
              </w:rPr>
            </w:pPr>
            <w:bookmarkStart w:id="0" w:name="OLE_LINK1" w:colFirst="1" w:colLast="1"/>
            <w:r>
              <w:rPr>
                <w:rFonts w:ascii="宋体" w:hAnsi="宋体"/>
                <w:b/>
                <w:color w:val="auto"/>
                <w:sz w:val="18"/>
                <w:highlight w:val="none"/>
              </w:rPr>
              <w:t>全  省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1859.5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—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1191.1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Cs/>
                <w:color w:val="auto"/>
                <w:sz w:val="18"/>
                <w:szCs w:val="18"/>
                <w:highlight w:val="none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郑  州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1285.8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817.5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开  封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17.4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-40.2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14.1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-46.3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洛  阳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-5.6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48.8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-11.5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平顶山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-13.7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-19.2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安  阳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-11.1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-19.2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鹤  壁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31.9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新  乡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41.1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23.9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36.3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36.3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焦  作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56.2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-2.7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40.3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-6.3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濮  阳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17.9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许  昌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-12.3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36.8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-13.1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漯  河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17.4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-40.4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-45.4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三门峡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63.9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28.3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南  阳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57.3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-19.3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49.1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-19.4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商  丘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30.8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信  阳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-9.6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周  口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-5.8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-2.9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驻马店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15.6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14.1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bottom w:val="single" w:color="auto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18"/>
                <w:highlight w:val="none"/>
              </w:rPr>
              <w:t>济  源</w:t>
            </w:r>
          </w:p>
        </w:tc>
        <w:tc>
          <w:tcPr>
            <w:tcW w:w="924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55.7</w:t>
            </w:r>
          </w:p>
        </w:tc>
        <w:tc>
          <w:tcPr>
            <w:tcW w:w="80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60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3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</w:t>
            </w:r>
          </w:p>
        </w:tc>
        <w:tc>
          <w:tcPr>
            <w:tcW w:w="80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-12.7</w:t>
            </w:r>
          </w:p>
        </w:tc>
        <w:tc>
          <w:tcPr>
            <w:tcW w:w="595" w:type="dxa"/>
            <w:tcBorders>
              <w:left w:val="single" w:color="000000" w:sz="4" w:space="0"/>
              <w:bottom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bookmarkEnd w:id="0"/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分直管县地区生产总值</w:t>
      </w:r>
    </w:p>
    <w:p>
      <w:pPr>
        <w:wordWrap w:val="0"/>
        <w:jc w:val="righ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18"/>
          <w:highlight w:val="none"/>
        </w:rPr>
        <w:t>单位:亿元、%</w:t>
      </w:r>
      <w:r>
        <w:rPr>
          <w:rFonts w:hint="eastAsia" w:ascii="宋体" w:hAnsi="宋体"/>
          <w:color w:val="auto"/>
          <w:sz w:val="18"/>
          <w:highlight w:val="none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25"/>
        <w:gridCol w:w="951"/>
        <w:gridCol w:w="804"/>
        <w:gridCol w:w="641"/>
        <w:gridCol w:w="881"/>
        <w:gridCol w:w="817"/>
        <w:gridCol w:w="81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25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市、县</w:t>
            </w:r>
          </w:p>
        </w:tc>
        <w:tc>
          <w:tcPr>
            <w:tcW w:w="2396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生产总值</w:t>
            </w:r>
            <w:r>
              <w:rPr>
                <w:rFonts w:hint="eastAsia" w:ascii="宋体" w:hAnsi="宋体"/>
                <w:color w:val="auto"/>
                <w:sz w:val="18"/>
                <w:highlight w:val="none"/>
                <w:lang w:eastAsia="zh-CN"/>
              </w:rPr>
              <w:t>（一</w:t>
            </w: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季度</w:t>
            </w:r>
            <w:r>
              <w:rPr>
                <w:rFonts w:hint="eastAsia" w:ascii="宋体" w:hAnsi="宋体"/>
                <w:color w:val="auto"/>
                <w:sz w:val="18"/>
                <w:highlight w:val="none"/>
                <w:lang w:eastAsia="zh-CN"/>
              </w:rPr>
              <w:t>）</w:t>
            </w:r>
          </w:p>
        </w:tc>
        <w:tc>
          <w:tcPr>
            <w:tcW w:w="2516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三次产业增速</w:t>
            </w:r>
            <w:r>
              <w:rPr>
                <w:rFonts w:hint="eastAsia" w:ascii="宋体" w:hAnsi="宋体"/>
                <w:color w:val="auto"/>
                <w:sz w:val="18"/>
                <w:highlight w:val="none"/>
                <w:lang w:eastAsia="zh-CN"/>
              </w:rPr>
              <w:t>（一</w:t>
            </w: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季度</w:t>
            </w:r>
            <w:r>
              <w:rPr>
                <w:rFonts w:hint="eastAsia" w:ascii="宋体" w:hAnsi="宋体"/>
                <w:color w:val="auto"/>
                <w:sz w:val="18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25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绝对值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增长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位次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一产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二产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三产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5"/>
                <w:highlight w:val="none"/>
              </w:rPr>
              <w:t>全  省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b/>
                <w:bCs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highlight w:val="none"/>
                <w:lang w:val="en-US" w:eastAsia="zh-CN"/>
              </w:rPr>
              <w:t>11510.15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b/>
                <w:bCs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highlight w:val="none"/>
                <w:lang w:val="en-US" w:eastAsia="zh-CN"/>
              </w:rPr>
              <w:t>-6.7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snapToGrid/>
                <w:color w:val="auto"/>
                <w:sz w:val="18"/>
                <w:szCs w:val="18"/>
                <w:highlight w:val="none"/>
                <w:u w:val="none"/>
              </w:rPr>
              <w:t>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b/>
                <w:bCs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highlight w:val="none"/>
                <w:lang w:val="en-US" w:eastAsia="zh-CN"/>
              </w:rPr>
              <w:t>-9.7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b/>
                <w:bCs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highlight w:val="none"/>
                <w:lang w:val="en-US" w:eastAsia="zh-CN"/>
              </w:rPr>
              <w:t>-8.1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b/>
                <w:bCs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highlight w:val="none"/>
                <w:lang w:val="en-US" w:eastAsia="zh-CN"/>
              </w:rPr>
              <w:t>-4.9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5"/>
                <w:highlight w:val="none"/>
              </w:rPr>
              <w:t>巩  义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169.83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-9.1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-14.8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-9.9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-7.6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5"/>
                <w:highlight w:val="none"/>
              </w:rPr>
              <w:t>兰  考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76.85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-6.4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-8.0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-8.8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-3.1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5"/>
                <w:highlight w:val="none"/>
              </w:rPr>
              <w:t>汝  州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95.47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-11.1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-12.3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-12.6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-9.5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5"/>
                <w:highlight w:val="none"/>
              </w:rPr>
              <w:t>滑  县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73.37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-9.0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-5.3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-14.7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-5.1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5"/>
                <w:highlight w:val="none"/>
              </w:rPr>
              <w:t>长  垣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91.07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-7.3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-5.9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-5.4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-10.3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5"/>
                <w:highlight w:val="none"/>
              </w:rPr>
              <w:t>邓  州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99.25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-6.5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-10.5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-5.8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-5.7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5"/>
                <w:highlight w:val="none"/>
              </w:rPr>
              <w:t>永  城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129.87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-4.7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-5.4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-6.2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-2.8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5"/>
                <w:highlight w:val="none"/>
              </w:rPr>
              <w:t>固  始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81.36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-7.5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-13.4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-10.6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-3.5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5"/>
                <w:highlight w:val="none"/>
              </w:rPr>
              <w:t>鹿  邑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83.03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-4.8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-7.5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-4.5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-4.5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5"/>
                <w:highlight w:val="none"/>
              </w:rPr>
              <w:t>新  蔡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52.90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-10.3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-12.0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-8.5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-11.0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25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18"/>
                <w:highlight w:val="none"/>
              </w:rPr>
              <w:t>济  源</w:t>
            </w:r>
          </w:p>
        </w:tc>
        <w:tc>
          <w:tcPr>
            <w:tcW w:w="951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154.25</w:t>
            </w:r>
          </w:p>
        </w:tc>
        <w:tc>
          <w:tcPr>
            <w:tcW w:w="804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-4.0</w:t>
            </w:r>
          </w:p>
        </w:tc>
        <w:tc>
          <w:tcPr>
            <w:tcW w:w="641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-13.3</w:t>
            </w:r>
          </w:p>
        </w:tc>
        <w:tc>
          <w:tcPr>
            <w:tcW w:w="817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-4.1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-3.1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分直管县工业增加值、消费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18"/>
          <w:highlight w:val="none"/>
        </w:rPr>
        <w:t>单位:亿元、%</w:t>
      </w:r>
      <w:r>
        <w:rPr>
          <w:rFonts w:hint="eastAsia" w:ascii="宋体" w:hAnsi="宋体"/>
          <w:color w:val="auto"/>
          <w:sz w:val="18"/>
          <w:highlight w:val="none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3"/>
        <w:gridCol w:w="951"/>
        <w:gridCol w:w="952"/>
        <w:gridCol w:w="1107"/>
        <w:gridCol w:w="1018"/>
        <w:gridCol w:w="76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6" w:hRule="exact"/>
          <w:jc w:val="center"/>
        </w:trPr>
        <w:tc>
          <w:tcPr>
            <w:tcW w:w="1443" w:type="dxa"/>
            <w:vMerge w:val="restart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市、县</w:t>
            </w:r>
          </w:p>
        </w:tc>
        <w:tc>
          <w:tcPr>
            <w:tcW w:w="1903" w:type="dxa"/>
            <w:gridSpan w:val="2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  <w:shd w:val="clear" w:color="auto" w:fill="auto"/>
              </w:rPr>
              <w:t>工业增加值</w:t>
            </w:r>
          </w:p>
        </w:tc>
        <w:tc>
          <w:tcPr>
            <w:tcW w:w="2891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  <w:shd w:val="clear" w:color="auto" w:fill="auto"/>
              </w:rPr>
              <w:t>社会消费品零售总额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6" w:hRule="exact"/>
          <w:jc w:val="center"/>
        </w:trPr>
        <w:tc>
          <w:tcPr>
            <w:tcW w:w="144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累计</w:t>
            </w: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增长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位次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1-本月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增长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5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5"/>
                <w:highlight w:val="none"/>
              </w:rPr>
              <w:t>全  省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-0.6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—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8181.6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-13.6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5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5"/>
                <w:highlight w:val="none"/>
              </w:rPr>
              <w:t>巩  义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98.6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-13.4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5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5"/>
                <w:highlight w:val="none"/>
              </w:rPr>
              <w:t>兰  考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-10.9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5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5"/>
                <w:highlight w:val="none"/>
              </w:rPr>
              <w:t>汝  州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90.5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-12.4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5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5"/>
                <w:highlight w:val="none"/>
              </w:rPr>
              <w:t>滑  县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60.2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-12.8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5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5"/>
                <w:highlight w:val="none"/>
              </w:rPr>
              <w:t>长  垣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5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5"/>
                <w:highlight w:val="none"/>
              </w:rPr>
              <w:t>邓  州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-12.1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5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5"/>
                <w:highlight w:val="none"/>
              </w:rPr>
              <w:t>永  城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-10.7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5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5"/>
                <w:highlight w:val="none"/>
              </w:rPr>
              <w:t>固  始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-2.3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-10.7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5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5"/>
                <w:highlight w:val="none"/>
              </w:rPr>
              <w:t>鹿  邑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-10.8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443" w:type="dxa"/>
            <w:tcBorders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5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5"/>
                <w:highlight w:val="none"/>
              </w:rPr>
              <w:t>新  蔡</w:t>
            </w:r>
          </w:p>
        </w:tc>
        <w:tc>
          <w:tcPr>
            <w:tcW w:w="951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</w:t>
            </w:r>
          </w:p>
        </w:tc>
        <w:tc>
          <w:tcPr>
            <w:tcW w:w="952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07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</w:t>
            </w:r>
          </w:p>
        </w:tc>
        <w:tc>
          <w:tcPr>
            <w:tcW w:w="1018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-11.4</w:t>
            </w:r>
          </w:p>
        </w:tc>
        <w:tc>
          <w:tcPr>
            <w:tcW w:w="766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443" w:type="dxa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5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5"/>
                <w:highlight w:val="none"/>
              </w:rPr>
              <w:t>济  源</w:t>
            </w: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95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1018" w:type="dxa"/>
            <w:tcBorders>
              <w:top w:val="nil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-12.6</w:t>
            </w:r>
          </w:p>
        </w:tc>
        <w:tc>
          <w:tcPr>
            <w:tcW w:w="766" w:type="dxa"/>
            <w:tcBorders>
              <w:top w:val="nil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分直管县综合能源消费量（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1-4月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）</w:t>
      </w:r>
    </w:p>
    <w:p>
      <w:pPr>
        <w:shd w:val="clear" w:color="auto" w:fill="auto"/>
        <w:wordWrap w:val="0"/>
        <w:jc w:val="right"/>
        <w:rPr>
          <w:rFonts w:hint="eastAsia"/>
          <w:color w:val="auto"/>
          <w:highlight w:val="none"/>
        </w:rPr>
      </w:pPr>
      <w:r>
        <w:rPr>
          <w:rFonts w:ascii="宋体" w:hAnsi="宋体"/>
          <w:color w:val="auto"/>
          <w:sz w:val="18"/>
          <w:highlight w:val="none"/>
        </w:rPr>
        <w:t>单位:</w:t>
      </w:r>
      <w:r>
        <w:rPr>
          <w:rFonts w:hint="eastAsia" w:ascii="宋体" w:hAnsi="宋体"/>
          <w:color w:val="auto"/>
          <w:sz w:val="18"/>
          <w:highlight w:val="none"/>
        </w:rPr>
        <w:t>万</w:t>
      </w:r>
      <w:r>
        <w:rPr>
          <w:rFonts w:ascii="宋体" w:hAnsi="宋体"/>
          <w:color w:val="auto"/>
          <w:sz w:val="18"/>
          <w:highlight w:val="none"/>
        </w:rPr>
        <w:t>吨标准煤、%</w:t>
      </w:r>
      <w:r>
        <w:rPr>
          <w:rFonts w:hint="eastAsia" w:ascii="宋体" w:hAnsi="宋体"/>
          <w:color w:val="auto"/>
          <w:sz w:val="18"/>
          <w:highlight w:val="none"/>
        </w:rPr>
        <w:t xml:space="preserve"> </w:t>
      </w:r>
    </w:p>
    <w:tbl>
      <w:tblPr>
        <w:tblStyle w:val="88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857"/>
        <w:gridCol w:w="1095"/>
        <w:gridCol w:w="1095"/>
        <w:gridCol w:w="1095"/>
        <w:gridCol w:w="109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1857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市、县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综合能源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消费量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增长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增加值能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耗降低率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降低率</w:t>
            </w:r>
          </w:p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bCs w:val="0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bCs w:val="0"/>
                <w:color w:val="auto"/>
                <w:sz w:val="18"/>
                <w:highlight w:val="none"/>
              </w:rPr>
              <w:t>全  省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3857.06 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-8.6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巩  义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103.87 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8.0 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兰  考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6.18 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-20.7 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-19.45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汝  州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79.31 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4.1 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5.84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滑  县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20.35 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0.4 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长  垣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25.35 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-2.6 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-5.59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邓  州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6.55 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-15.3 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-14.07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永  城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169.31 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1.5 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固  始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0.88 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-36.1 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-32.48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鹿  邑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3.31 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-5.4 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-5.19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新  蔡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0.45 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 xml:space="preserve">-26.9 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-24.45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18"/>
                <w:highlight w:val="none"/>
              </w:rPr>
              <w:t>济  源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207.98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-11.9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-12.08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分直管县固定资产投资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1-4月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）</w:t>
      </w:r>
    </w:p>
    <w:p>
      <w:pPr>
        <w:shd w:val="clear" w:color="auto" w:fill="auto"/>
        <w:wordWrap w:val="0"/>
        <w:jc w:val="righ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18"/>
          <w:highlight w:val="none"/>
        </w:rPr>
        <w:t>单位:%</w:t>
      </w:r>
      <w:r>
        <w:rPr>
          <w:rFonts w:hint="eastAsia" w:ascii="宋体" w:hAnsi="宋体"/>
          <w:color w:val="auto"/>
          <w:sz w:val="18"/>
          <w:highlight w:val="none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75"/>
        <w:gridCol w:w="1115"/>
        <w:gridCol w:w="1116"/>
        <w:gridCol w:w="1115"/>
        <w:gridCol w:w="111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775" w:type="dxa"/>
            <w:vMerge w:val="restart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市、县</w:t>
            </w:r>
          </w:p>
        </w:tc>
        <w:tc>
          <w:tcPr>
            <w:tcW w:w="22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  <w:shd w:val="clear" w:color="auto" w:fill="auto"/>
              </w:rPr>
              <w:t>固定资产投资</w:t>
            </w:r>
          </w:p>
        </w:tc>
        <w:tc>
          <w:tcPr>
            <w:tcW w:w="22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highlight w:val="none"/>
              </w:rPr>
              <w:t>#房地产投资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775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增长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位次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增长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highlight w:val="none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bCs w:val="0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bCs w:val="0"/>
                <w:color w:val="auto"/>
                <w:sz w:val="18"/>
                <w:highlight w:val="none"/>
              </w:rPr>
              <w:t>全  省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-1.1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 w:val="0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巩  义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12.3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兰  考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汝  州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-3.1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8.8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滑  县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-15.8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-10.3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长  垣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15.0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邓  州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-6.1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11.6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永  城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-11.8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固  始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-13.8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鹿  邑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1.3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3.9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highlight w:val="none"/>
              </w:rPr>
              <w:t>新  蔡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-6.6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75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18"/>
                <w:highlight w:val="none"/>
              </w:rPr>
              <w:t>济  源</w:t>
            </w:r>
          </w:p>
        </w:tc>
        <w:tc>
          <w:tcPr>
            <w:tcW w:w="111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-5.9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9.4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</w:tr>
    </w:tbl>
    <w:p>
      <w:pPr>
        <w:shd w:val="clear" w:color="auto" w:fill="auto"/>
        <w:jc w:val="center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全省主要经济指标</w:t>
      </w:r>
    </w:p>
    <w:p>
      <w:pPr>
        <w:shd w:val="clear" w:color="auto" w:fill="auto"/>
        <w:jc w:val="center"/>
        <w:rPr>
          <w:rFonts w:hint="eastAsia" w:ascii="黑体" w:hAnsi="黑体" w:eastAsia="黑体" w:cs="黑体"/>
          <w:color w:val="auto"/>
          <w:szCs w:val="21"/>
          <w:highlight w:val="none"/>
        </w:rPr>
      </w:pPr>
    </w:p>
    <w:tbl>
      <w:tblPr>
        <w:tblStyle w:val="88"/>
        <w:tblW w:w="628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0"/>
        <w:gridCol w:w="2938"/>
        <w:gridCol w:w="721"/>
        <w:gridCol w:w="1152"/>
        <w:gridCol w:w="1299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5" w:hRule="exact"/>
          <w:jc w:val="center"/>
        </w:trPr>
        <w:tc>
          <w:tcPr>
            <w:tcW w:w="3108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指    标</w:t>
            </w:r>
          </w:p>
        </w:tc>
        <w:tc>
          <w:tcPr>
            <w:tcW w:w="721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1-本月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地区生产总值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一季度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1510.15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-</w:t>
            </w:r>
            <w:r>
              <w:rPr>
                <w:rFonts w:hint="eastAsia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第一产业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</w:t>
            </w: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88.71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-9.7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第二产业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4745.69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-8.1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第三产业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6075.75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-4.9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规模以上工业增加值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b/>
                <w:bCs/>
                <w:color w:val="auto"/>
                <w:sz w:val="18"/>
                <w:szCs w:val="18"/>
                <w:highlight w:val="none"/>
              </w:rPr>
              <w:t>－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-</w:t>
            </w:r>
            <w:r>
              <w:rPr>
                <w:rFonts w:hint="eastAsia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固定资产投资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－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社会消费品零售总额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8181.6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一般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公共预算收入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1625.3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-6.9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一般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公共预算支出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4218.6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-0.1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进出口总额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1859.5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#出口总额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1191.1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居民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人均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可支配收入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（一季度）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57" w:rightChars="27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6285.8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tabs>
                <w:tab w:val="left" w:pos="481"/>
              </w:tabs>
              <w:autoSpaceDN w:val="0"/>
              <w:ind w:right="57" w:rightChars="27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2.3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城镇居民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人均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可支配收入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（一季度）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57" w:rightChars="27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9088.2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tabs>
                <w:tab w:val="left" w:pos="481"/>
              </w:tabs>
              <w:autoSpaceDN w:val="0"/>
              <w:ind w:right="57" w:rightChars="27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0.8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农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村居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民人均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可支配收入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（一季度）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57" w:rightChars="27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3939.9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57" w:rightChars="27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4.3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居民消费价格总指数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57" w:rightChars="27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10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4.4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tabs>
                <w:tab w:val="left" w:pos="511"/>
              </w:tabs>
              <w:autoSpaceDN w:val="0"/>
              <w:ind w:right="57" w:rightChars="27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4.4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17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57" w:rightChars="27"/>
              <w:jc w:val="center"/>
              <w:textAlignment w:val="center"/>
              <w:rPr>
                <w:rFonts w:hint="default" w:ascii="宋体" w:hAnsi="宋体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-4月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57" w:rightChars="27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70" w:type="dxa"/>
            <w:tcBorders>
              <w:bottom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38" w:type="dxa"/>
            <w:tcBorders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规模以上工业营业收入</w:t>
            </w:r>
          </w:p>
        </w:tc>
        <w:tc>
          <w:tcPr>
            <w:tcW w:w="721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－</w:t>
            </w:r>
          </w:p>
        </w:tc>
        <w:tc>
          <w:tcPr>
            <w:tcW w:w="1299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-3.6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        利润总额</w:t>
            </w:r>
          </w:p>
        </w:tc>
        <w:tc>
          <w:tcPr>
            <w:tcW w:w="7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－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-3.0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70" w:type="dxa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38" w:type="dxa"/>
            <w:tcBorders>
              <w:top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万元增加值能耗降低率</w:t>
            </w:r>
          </w:p>
        </w:tc>
        <w:tc>
          <w:tcPr>
            <w:tcW w:w="721" w:type="dxa"/>
            <w:tcBorders>
              <w:top w:val="nil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－</w:t>
            </w:r>
          </w:p>
        </w:tc>
        <w:tc>
          <w:tcPr>
            <w:tcW w:w="1299" w:type="dxa"/>
            <w:tcBorders>
              <w:top w:val="nil"/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-</w:t>
            </w: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5.88</w:t>
            </w:r>
          </w:p>
        </w:tc>
      </w:tr>
    </w:tbl>
    <w:p>
      <w:pPr>
        <w:shd w:val="clear" w:color="auto" w:fill="auto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全国主要经济指标</w:t>
      </w:r>
    </w:p>
    <w:p>
      <w:pPr>
        <w:shd w:val="clear" w:color="auto" w:fill="auto"/>
        <w:jc w:val="center"/>
        <w:rPr>
          <w:rFonts w:hint="eastAsia" w:ascii="黑体" w:hAnsi="黑体" w:eastAsia="黑体" w:cs="黑体"/>
          <w:color w:val="auto"/>
          <w:szCs w:val="21"/>
          <w:highlight w:val="none"/>
        </w:rPr>
      </w:pPr>
    </w:p>
    <w:tbl>
      <w:tblPr>
        <w:tblStyle w:val="88"/>
        <w:tblW w:w="622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8"/>
        <w:gridCol w:w="3007"/>
        <w:gridCol w:w="836"/>
        <w:gridCol w:w="1197"/>
        <w:gridCol w:w="101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3" w:hRule="exact"/>
          <w:jc w:val="center"/>
        </w:trPr>
        <w:tc>
          <w:tcPr>
            <w:tcW w:w="3175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指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标</w:t>
            </w:r>
          </w:p>
        </w:tc>
        <w:tc>
          <w:tcPr>
            <w:tcW w:w="836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1-本月</w:t>
            </w:r>
          </w:p>
        </w:tc>
        <w:tc>
          <w:tcPr>
            <w:tcW w:w="1012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地区生产总值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（一季度）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06504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6.8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第一产业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10186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-3.2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第二产业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73638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9.6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第三产业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122680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-5.2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规模以上工业增加值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－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规模以上工业产销率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</w:rPr>
              <w:t>9</w:t>
            </w: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7.4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制造业采购经理指数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50.6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固定资产投资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199194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6.3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社会消费品零售总额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38730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hAnsi="宋体" w:eastAsia="宋体"/>
                <w:color w:val="auto"/>
                <w:sz w:val="18"/>
                <w:highlight w:val="none"/>
                <w:lang w:val="en-US" w:eastAsia="zh-CN"/>
              </w:rPr>
              <w:t>-13.5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一般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公共预算收入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highlight w:val="none"/>
                <w:lang w:val="en-US" w:eastAsia="zh-CN"/>
              </w:rPr>
              <w:t>77672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highlight w:val="none"/>
                <w:lang w:val="en-US" w:eastAsia="zh-CN"/>
              </w:rPr>
              <w:t>-13.6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一般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公共预算支出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highlight w:val="none"/>
                <w:lang w:val="en-US" w:eastAsia="zh-CN"/>
              </w:rPr>
              <w:t>90281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hAnsi="宋体" w:eastAsia="宋体"/>
                <w:color w:val="auto"/>
                <w:sz w:val="18"/>
                <w:highlight w:val="none"/>
                <w:lang w:val="en-US" w:eastAsia="zh-CN"/>
              </w:rPr>
              <w:t>-2.9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进出口总额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highlight w:val="none"/>
                <w:lang w:val="en-US" w:eastAsia="zh-CN"/>
              </w:rPr>
              <w:t>115381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hAnsi="宋体" w:eastAsia="宋体"/>
                <w:color w:val="auto"/>
                <w:sz w:val="18"/>
                <w:highlight w:val="none"/>
                <w:lang w:val="en-US" w:eastAsia="zh-CN"/>
              </w:rPr>
              <w:t>-4.9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#出口总额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highlight w:val="none"/>
                <w:lang w:val="en-US" w:eastAsia="zh-CN"/>
              </w:rPr>
              <w:t>61989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hAnsi="宋体" w:eastAsia="宋体"/>
                <w:color w:val="auto"/>
                <w:sz w:val="18"/>
                <w:highlight w:val="none"/>
                <w:lang w:val="en-US" w:eastAsia="zh-CN"/>
              </w:rPr>
              <w:t>-4.7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居民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人均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可支配收入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（一季度）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highlight w:val="none"/>
                <w:lang w:val="en-US" w:eastAsia="zh-CN"/>
              </w:rPr>
              <w:t>8561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城镇居民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人均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可支配收入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（一季度）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highlight w:val="none"/>
                <w:lang w:val="en-US" w:eastAsia="zh-CN"/>
              </w:rPr>
              <w:t>11691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农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村居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民人均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可支配收入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（一季度）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hAnsi="宋体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highlight w:val="none"/>
                <w:lang w:val="en-US" w:eastAsia="zh-CN"/>
              </w:rPr>
              <w:t>4641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居民消费价格总指数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</w:rPr>
              <w:t>10</w:t>
            </w: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4.1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38" w:rightChars="18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16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1-4月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bCs/>
                <w:color w:val="auto"/>
                <w:sz w:val="18"/>
                <w:szCs w:val="18"/>
                <w:highlight w:val="none"/>
              </w:rPr>
              <w:t>规模以上工业</w:t>
            </w: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</w:rPr>
              <w:t>营业</w:t>
            </w:r>
            <w:r>
              <w:rPr>
                <w:bCs/>
                <w:color w:val="auto"/>
                <w:sz w:val="18"/>
                <w:szCs w:val="18"/>
                <w:highlight w:val="none"/>
              </w:rPr>
              <w:t>收入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bCs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283082.5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tabs>
                <w:tab w:val="left" w:pos="393"/>
              </w:tabs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highlight w:val="none"/>
                <w:lang w:val="en-US" w:eastAsia="zh-CN"/>
              </w:rPr>
              <w:t>-9.9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6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07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        利润总额</w:t>
            </w:r>
          </w:p>
        </w:tc>
        <w:tc>
          <w:tcPr>
            <w:tcW w:w="836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  <w:lang w:val="en-US" w:eastAsia="zh-CN"/>
              </w:rPr>
              <w:t>12597.9</w:t>
            </w:r>
          </w:p>
        </w:tc>
        <w:tc>
          <w:tcPr>
            <w:tcW w:w="1012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right="105" w:rightChars="50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highlight w:val="none"/>
                <w:lang w:val="en-US" w:eastAsia="zh-CN"/>
              </w:rPr>
              <w:t>-27.4</w:t>
            </w:r>
          </w:p>
        </w:tc>
      </w:tr>
    </w:tbl>
    <w:p>
      <w:pPr>
        <w:shd w:val="clear" w:color="auto" w:fill="auto"/>
        <w:spacing w:line="20" w:lineRule="exact"/>
        <w:rPr>
          <w:rFonts w:hint="eastAsia" w:ascii="仿宋" w:hAnsi="仿宋" w:eastAsia="仿宋" w:cs="仿宋"/>
          <w:color w:val="auto"/>
          <w:highlight w:val="none"/>
        </w:rPr>
      </w:pPr>
    </w:p>
    <w:sectPr>
      <w:pgSz w:w="8392" w:h="11907"/>
      <w:pgMar w:top="1134" w:right="1134" w:bottom="1134" w:left="1134" w:header="567" w:footer="851" w:gutter="0"/>
      <w:cols w:space="720" w:num="1"/>
      <w:docGrid w:type="lines" w:linePitch="3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大标宋简体">
    <w:altName w:val="微软雅黑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476885" cy="147955"/>
              <wp:effectExtent l="0" t="0" r="0" b="0"/>
              <wp:wrapNone/>
              <wp:docPr id="5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5"/>
                            <w:rPr>
                              <w:rStyle w:val="91"/>
                              <w:rFonts w:hint="eastAsia"/>
                            </w:rPr>
                          </w:pPr>
                          <w:r>
                            <w:rPr>
                              <w:rStyle w:val="91"/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9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91"/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height:11.65pt;width:37.55pt;mso-position-horizontal:outside;mso-position-horizontal-relative:margin;mso-position-vertical:top;z-index:251658240;mso-width-relative:page;mso-height-relative:page;" filled="f" stroked="f" coordsize="21600,21600" o:gfxdata="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YU2XY&#10;0gAAAAMBAAAPAAAAAAAAAAEAIAAAACIAAABkcnMvZG93bnJldi54bWxQSwECFAAUAAAACACHTuJA&#10;4aXlCrUBAABKAwAADgAAAAAAAAABACAAAAAh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5"/>
                      <w:rPr>
                        <w:rStyle w:val="91"/>
                        <w:rFonts w:hint="eastAsia"/>
                      </w:rPr>
                    </w:pPr>
                    <w:r>
                      <w:rPr>
                        <w:rStyle w:val="91"/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Style w:val="9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91"/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framePr w:wrap="around" w:vAnchor="text" w:hAnchor="margin" w:xAlign="outside" w:y="1"/>
      <w:rPr>
        <w:rStyle w:val="91"/>
      </w:rPr>
    </w:pPr>
    <w:r>
      <w:fldChar w:fldCharType="begin"/>
    </w:r>
    <w:r>
      <w:rPr>
        <w:rStyle w:val="91"/>
      </w:rPr>
      <w:instrText xml:space="preserve">PAGE  </w:instrText>
    </w:r>
    <w:r>
      <w:fldChar w:fldCharType="separate"/>
    </w:r>
    <w:r>
      <w:rPr>
        <w:rStyle w:val="91"/>
      </w:rPr>
      <w:t>7</w:t>
    </w:r>
    <w:r>
      <w:fldChar w:fldCharType="end"/>
    </w:r>
  </w:p>
  <w:p>
    <w:pPr>
      <w:pStyle w:val="5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00000004"/>
    <w:multiLevelType w:val="singleLevel"/>
    <w:tmpl w:val="00000004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2">
    <w:nsid w:val="00000007"/>
    <w:multiLevelType w:val="singleLevel"/>
    <w:tmpl w:val="00000007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3">
    <w:nsid w:val="0000000B"/>
    <w:multiLevelType w:val="singleLevel"/>
    <w:tmpl w:val="0000000B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4">
    <w:nsid w:val="0000000C"/>
    <w:multiLevelType w:val="singleLevel"/>
    <w:tmpl w:val="0000000C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5">
    <w:nsid w:val="0000000D"/>
    <w:multiLevelType w:val="singleLevel"/>
    <w:tmpl w:val="0000000D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6">
    <w:nsid w:val="0000000E"/>
    <w:multiLevelType w:val="singleLevel"/>
    <w:tmpl w:val="0000000E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7">
    <w:nsid w:val="0000000F"/>
    <w:multiLevelType w:val="singleLevel"/>
    <w:tmpl w:val="0000000F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>
    <w:nsid w:val="00000010"/>
    <w:multiLevelType w:val="singleLevel"/>
    <w:tmpl w:val="00000010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10">
    <w:nsid w:val="0275CFFD"/>
    <w:multiLevelType w:val="singleLevel"/>
    <w:tmpl w:val="0275CF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5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F2849"/>
    <w:rsid w:val="0174071A"/>
    <w:rsid w:val="01E06BD0"/>
    <w:rsid w:val="02D5694F"/>
    <w:rsid w:val="03301E13"/>
    <w:rsid w:val="04FA50F1"/>
    <w:rsid w:val="054942C0"/>
    <w:rsid w:val="06B82ABD"/>
    <w:rsid w:val="0701595C"/>
    <w:rsid w:val="076E7D51"/>
    <w:rsid w:val="080D3204"/>
    <w:rsid w:val="0849521F"/>
    <w:rsid w:val="087E0170"/>
    <w:rsid w:val="08C408D6"/>
    <w:rsid w:val="08C91A3C"/>
    <w:rsid w:val="09196209"/>
    <w:rsid w:val="09323EEA"/>
    <w:rsid w:val="09CB29C2"/>
    <w:rsid w:val="0A3D136D"/>
    <w:rsid w:val="0A6752AB"/>
    <w:rsid w:val="0ACA1203"/>
    <w:rsid w:val="0B5E3BEA"/>
    <w:rsid w:val="0B995636"/>
    <w:rsid w:val="0BF777D3"/>
    <w:rsid w:val="0C092770"/>
    <w:rsid w:val="0C58122F"/>
    <w:rsid w:val="0C594596"/>
    <w:rsid w:val="0CBA06BF"/>
    <w:rsid w:val="0D5532AC"/>
    <w:rsid w:val="0D8509A5"/>
    <w:rsid w:val="0DD5317D"/>
    <w:rsid w:val="0E080BD5"/>
    <w:rsid w:val="0E64421D"/>
    <w:rsid w:val="0EE06982"/>
    <w:rsid w:val="0F0D6C7F"/>
    <w:rsid w:val="0F7717B5"/>
    <w:rsid w:val="10447EDE"/>
    <w:rsid w:val="11D43AE5"/>
    <w:rsid w:val="14043FDE"/>
    <w:rsid w:val="141B22EE"/>
    <w:rsid w:val="141C7A12"/>
    <w:rsid w:val="14A4768B"/>
    <w:rsid w:val="15062200"/>
    <w:rsid w:val="152B76B9"/>
    <w:rsid w:val="153D70B0"/>
    <w:rsid w:val="15A5258A"/>
    <w:rsid w:val="15D50C50"/>
    <w:rsid w:val="15F41F9B"/>
    <w:rsid w:val="160F4AF9"/>
    <w:rsid w:val="16186ECE"/>
    <w:rsid w:val="162639F8"/>
    <w:rsid w:val="17640778"/>
    <w:rsid w:val="17785248"/>
    <w:rsid w:val="181B2D6C"/>
    <w:rsid w:val="1888234F"/>
    <w:rsid w:val="18961745"/>
    <w:rsid w:val="190C0A3E"/>
    <w:rsid w:val="19326683"/>
    <w:rsid w:val="19340DD7"/>
    <w:rsid w:val="199B0042"/>
    <w:rsid w:val="19D12596"/>
    <w:rsid w:val="19DD7E18"/>
    <w:rsid w:val="19F93BA0"/>
    <w:rsid w:val="1A805D3E"/>
    <w:rsid w:val="1ACB07C8"/>
    <w:rsid w:val="1B0C4985"/>
    <w:rsid w:val="1BA4092C"/>
    <w:rsid w:val="1C8F6B39"/>
    <w:rsid w:val="1CF26C6D"/>
    <w:rsid w:val="1D5F292A"/>
    <w:rsid w:val="1DC800A0"/>
    <w:rsid w:val="1E000098"/>
    <w:rsid w:val="1EC92976"/>
    <w:rsid w:val="1EE922E5"/>
    <w:rsid w:val="1F4E7E4A"/>
    <w:rsid w:val="1F692783"/>
    <w:rsid w:val="205A076D"/>
    <w:rsid w:val="20E04C39"/>
    <w:rsid w:val="20E71AAF"/>
    <w:rsid w:val="213213EC"/>
    <w:rsid w:val="223E28D2"/>
    <w:rsid w:val="22885F3F"/>
    <w:rsid w:val="22A725AC"/>
    <w:rsid w:val="22DE7758"/>
    <w:rsid w:val="239064BF"/>
    <w:rsid w:val="239D0DA7"/>
    <w:rsid w:val="23EE428A"/>
    <w:rsid w:val="23F27E70"/>
    <w:rsid w:val="24AB34E9"/>
    <w:rsid w:val="24AE3F6E"/>
    <w:rsid w:val="258D1670"/>
    <w:rsid w:val="262D41B1"/>
    <w:rsid w:val="26B25351"/>
    <w:rsid w:val="274E79AC"/>
    <w:rsid w:val="275025A2"/>
    <w:rsid w:val="276A0849"/>
    <w:rsid w:val="277F6941"/>
    <w:rsid w:val="278563F4"/>
    <w:rsid w:val="279706DF"/>
    <w:rsid w:val="27DE30C4"/>
    <w:rsid w:val="28036FC7"/>
    <w:rsid w:val="28A954E9"/>
    <w:rsid w:val="28FD7372"/>
    <w:rsid w:val="29F04AF4"/>
    <w:rsid w:val="2A19196D"/>
    <w:rsid w:val="2A2739F7"/>
    <w:rsid w:val="2C182058"/>
    <w:rsid w:val="2C7B0826"/>
    <w:rsid w:val="2D9A3492"/>
    <w:rsid w:val="2DFC65FB"/>
    <w:rsid w:val="2E053DC1"/>
    <w:rsid w:val="2E373D60"/>
    <w:rsid w:val="2EAB4316"/>
    <w:rsid w:val="2F122595"/>
    <w:rsid w:val="2FE252CE"/>
    <w:rsid w:val="2FE378A5"/>
    <w:rsid w:val="3066530E"/>
    <w:rsid w:val="31C51146"/>
    <w:rsid w:val="31ED322D"/>
    <w:rsid w:val="321629BC"/>
    <w:rsid w:val="324914AE"/>
    <w:rsid w:val="33304532"/>
    <w:rsid w:val="33764F08"/>
    <w:rsid w:val="34284BF6"/>
    <w:rsid w:val="34424302"/>
    <w:rsid w:val="3564628D"/>
    <w:rsid w:val="35C11F69"/>
    <w:rsid w:val="36F82324"/>
    <w:rsid w:val="37501A1F"/>
    <w:rsid w:val="37986573"/>
    <w:rsid w:val="38434EB9"/>
    <w:rsid w:val="38AF5F59"/>
    <w:rsid w:val="38FA0A3C"/>
    <w:rsid w:val="3919631D"/>
    <w:rsid w:val="398E7AFE"/>
    <w:rsid w:val="3A64161D"/>
    <w:rsid w:val="3A9E5FAF"/>
    <w:rsid w:val="3ABF02D4"/>
    <w:rsid w:val="3AE0690D"/>
    <w:rsid w:val="3B891533"/>
    <w:rsid w:val="3BB92493"/>
    <w:rsid w:val="3CA94783"/>
    <w:rsid w:val="3D3E3608"/>
    <w:rsid w:val="3DCB0191"/>
    <w:rsid w:val="3E53731F"/>
    <w:rsid w:val="3ED21071"/>
    <w:rsid w:val="3FA86FF4"/>
    <w:rsid w:val="3FF5799D"/>
    <w:rsid w:val="40456903"/>
    <w:rsid w:val="40566963"/>
    <w:rsid w:val="406B3BF0"/>
    <w:rsid w:val="4100118D"/>
    <w:rsid w:val="416B6D74"/>
    <w:rsid w:val="418C3A8B"/>
    <w:rsid w:val="42124D14"/>
    <w:rsid w:val="433F2753"/>
    <w:rsid w:val="43580C4B"/>
    <w:rsid w:val="43942060"/>
    <w:rsid w:val="43FE7AF1"/>
    <w:rsid w:val="440F0074"/>
    <w:rsid w:val="44AC18B4"/>
    <w:rsid w:val="45465DE6"/>
    <w:rsid w:val="45727DB6"/>
    <w:rsid w:val="45A872BD"/>
    <w:rsid w:val="465E71A0"/>
    <w:rsid w:val="47094668"/>
    <w:rsid w:val="473F5688"/>
    <w:rsid w:val="47C12DBF"/>
    <w:rsid w:val="488338A1"/>
    <w:rsid w:val="48A563B7"/>
    <w:rsid w:val="492306CD"/>
    <w:rsid w:val="493605F0"/>
    <w:rsid w:val="49C84790"/>
    <w:rsid w:val="49E86822"/>
    <w:rsid w:val="4A404EF0"/>
    <w:rsid w:val="4AB04F63"/>
    <w:rsid w:val="4AE3387D"/>
    <w:rsid w:val="4B015AF2"/>
    <w:rsid w:val="4B344F3C"/>
    <w:rsid w:val="4B974FE0"/>
    <w:rsid w:val="4B9F0BDD"/>
    <w:rsid w:val="4BCC6744"/>
    <w:rsid w:val="4D1F5E24"/>
    <w:rsid w:val="4D341270"/>
    <w:rsid w:val="4D666EFC"/>
    <w:rsid w:val="4D6737BA"/>
    <w:rsid w:val="4DC741D6"/>
    <w:rsid w:val="4DF22B6F"/>
    <w:rsid w:val="4E63004E"/>
    <w:rsid w:val="4E6A34E3"/>
    <w:rsid w:val="4EED0911"/>
    <w:rsid w:val="4EFB2A96"/>
    <w:rsid w:val="4F264DB5"/>
    <w:rsid w:val="4F2C74B0"/>
    <w:rsid w:val="502E1481"/>
    <w:rsid w:val="5082495C"/>
    <w:rsid w:val="50AE25CB"/>
    <w:rsid w:val="50BC069D"/>
    <w:rsid w:val="50D7436D"/>
    <w:rsid w:val="50EC1170"/>
    <w:rsid w:val="512F1818"/>
    <w:rsid w:val="519E44FD"/>
    <w:rsid w:val="524B65FC"/>
    <w:rsid w:val="52520F0C"/>
    <w:rsid w:val="52D605FD"/>
    <w:rsid w:val="5325175C"/>
    <w:rsid w:val="53373AA0"/>
    <w:rsid w:val="53C775BD"/>
    <w:rsid w:val="543E4DF4"/>
    <w:rsid w:val="55420411"/>
    <w:rsid w:val="55BA0762"/>
    <w:rsid w:val="567F4E1C"/>
    <w:rsid w:val="56A939A0"/>
    <w:rsid w:val="575568E3"/>
    <w:rsid w:val="57BC2C76"/>
    <w:rsid w:val="57CA537D"/>
    <w:rsid w:val="58F26D1A"/>
    <w:rsid w:val="5905542E"/>
    <w:rsid w:val="59307C56"/>
    <w:rsid w:val="597B46C9"/>
    <w:rsid w:val="5A3730A6"/>
    <w:rsid w:val="5BF74F2D"/>
    <w:rsid w:val="5C39308E"/>
    <w:rsid w:val="5C486AE6"/>
    <w:rsid w:val="5CA330B8"/>
    <w:rsid w:val="5CD70495"/>
    <w:rsid w:val="5CFA7877"/>
    <w:rsid w:val="5D661F4E"/>
    <w:rsid w:val="5D722046"/>
    <w:rsid w:val="5E2403AF"/>
    <w:rsid w:val="5E74337F"/>
    <w:rsid w:val="5E9C6466"/>
    <w:rsid w:val="5F6072B2"/>
    <w:rsid w:val="5F694506"/>
    <w:rsid w:val="5F900E6D"/>
    <w:rsid w:val="5FA030D1"/>
    <w:rsid w:val="60200621"/>
    <w:rsid w:val="60441317"/>
    <w:rsid w:val="6185392A"/>
    <w:rsid w:val="61DF3AD6"/>
    <w:rsid w:val="61E96D19"/>
    <w:rsid w:val="649A4E83"/>
    <w:rsid w:val="64DD3C25"/>
    <w:rsid w:val="65293C21"/>
    <w:rsid w:val="65300A9E"/>
    <w:rsid w:val="655E7DB3"/>
    <w:rsid w:val="670442D1"/>
    <w:rsid w:val="674313AC"/>
    <w:rsid w:val="676F6230"/>
    <w:rsid w:val="67C81C60"/>
    <w:rsid w:val="67F54BA0"/>
    <w:rsid w:val="682D68C8"/>
    <w:rsid w:val="696B08CB"/>
    <w:rsid w:val="6A0421F8"/>
    <w:rsid w:val="6AC409F9"/>
    <w:rsid w:val="6AE03A40"/>
    <w:rsid w:val="6C4C2BCB"/>
    <w:rsid w:val="6D0C0D80"/>
    <w:rsid w:val="6D7B64E5"/>
    <w:rsid w:val="6DD01BC2"/>
    <w:rsid w:val="6ECD5BD6"/>
    <w:rsid w:val="70234DF5"/>
    <w:rsid w:val="7036391B"/>
    <w:rsid w:val="70B37F52"/>
    <w:rsid w:val="70F32493"/>
    <w:rsid w:val="71134D5F"/>
    <w:rsid w:val="7162527A"/>
    <w:rsid w:val="717D0AD8"/>
    <w:rsid w:val="718A5F0C"/>
    <w:rsid w:val="727710A2"/>
    <w:rsid w:val="738C6701"/>
    <w:rsid w:val="74CE4831"/>
    <w:rsid w:val="75207C40"/>
    <w:rsid w:val="76FA2391"/>
    <w:rsid w:val="77466945"/>
    <w:rsid w:val="78C66107"/>
    <w:rsid w:val="78E4675B"/>
    <w:rsid w:val="794938AA"/>
    <w:rsid w:val="795262A5"/>
    <w:rsid w:val="79736704"/>
    <w:rsid w:val="79780265"/>
    <w:rsid w:val="79E70088"/>
    <w:rsid w:val="79F242B4"/>
    <w:rsid w:val="7A3B4AF9"/>
    <w:rsid w:val="7A3E66F9"/>
    <w:rsid w:val="7A4B6AC5"/>
    <w:rsid w:val="7C5050FD"/>
    <w:rsid w:val="7C587E16"/>
    <w:rsid w:val="7C5C69CF"/>
    <w:rsid w:val="7C792C11"/>
    <w:rsid w:val="7D1D3B66"/>
    <w:rsid w:val="7D7944AA"/>
    <w:rsid w:val="7E4E08D1"/>
    <w:rsid w:val="7E6C3B16"/>
    <w:rsid w:val="7EDC125D"/>
    <w:rsid w:val="7EDC2BFF"/>
    <w:rsid w:val="7F433665"/>
    <w:rsid w:val="7F8E64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uiPriority w:val="0"/>
    <w:pPr>
      <w:keepNext/>
      <w:keepLines/>
      <w:spacing w:before="280" w:beforeLines="0" w:after="290" w:afterLines="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uiPriority w:val="0"/>
    <w:pPr>
      <w:keepNext/>
      <w:keepLines/>
      <w:spacing w:before="240" w:beforeLines="0" w:after="64" w:afterLines="0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uiPriority w:val="0"/>
    <w:pPr>
      <w:keepNext/>
      <w:keepLines/>
      <w:spacing w:before="240" w:beforeLines="0" w:after="64" w:afterLines="0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uiPriority w:val="0"/>
    <w:pPr>
      <w:keepNext/>
      <w:keepLines/>
      <w:spacing w:before="240" w:beforeLines="0" w:after="64" w:afterLines="0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iPriority w:val="0"/>
    <w:pPr>
      <w:keepNext/>
      <w:keepLines/>
      <w:spacing w:before="240" w:beforeLines="0" w:after="64" w:afterLines="0" w:line="320" w:lineRule="auto"/>
      <w:outlineLvl w:val="8"/>
    </w:pPr>
    <w:rPr>
      <w:rFonts w:ascii="Arial" w:hAnsi="Arial" w:eastAsia="黑体"/>
      <w:szCs w:val="21"/>
    </w:rPr>
  </w:style>
  <w:style w:type="character" w:default="1" w:styleId="89">
    <w:name w:val="Default Paragraph Font"/>
    <w:uiPriority w:val="0"/>
  </w:style>
  <w:style w:type="table" w:default="1" w:styleId="88">
    <w:name w:val="Normal Table"/>
    <w:semiHidden/>
    <w:qFormat/>
    <w:uiPriority w:val="0"/>
    <w:tblPr>
      <w:tblStyle w:val="8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uiPriority w:val="0"/>
    <w:pPr>
      <w:ind w:left="2520" w:leftChars="1200"/>
    </w:pPr>
  </w:style>
  <w:style w:type="paragraph" w:styleId="14">
    <w:name w:val="List Number 2"/>
    <w:basedOn w:val="1"/>
    <w:uiPriority w:val="0"/>
    <w:pPr>
      <w:numPr>
        <w:ilvl w:val="0"/>
        <w:numId w:val="1"/>
      </w:numPr>
    </w:pPr>
  </w:style>
  <w:style w:type="paragraph" w:styleId="15">
    <w:name w:val="table of authorities"/>
    <w:basedOn w:val="1"/>
    <w:next w:val="1"/>
    <w:uiPriority w:val="0"/>
    <w:pPr>
      <w:ind w:left="420" w:leftChars="200"/>
    </w:pPr>
  </w:style>
  <w:style w:type="paragraph" w:styleId="16">
    <w:name w:val="Note Heading"/>
    <w:basedOn w:val="1"/>
    <w:next w:val="1"/>
    <w:uiPriority w:val="0"/>
    <w:pPr>
      <w:jc w:val="center"/>
    </w:pPr>
  </w:style>
  <w:style w:type="paragraph" w:styleId="17">
    <w:name w:val="List Bullet 4"/>
    <w:basedOn w:val="1"/>
    <w:uiPriority w:val="0"/>
    <w:pPr>
      <w:numPr>
        <w:ilvl w:val="0"/>
        <w:numId w:val="2"/>
      </w:numPr>
    </w:pPr>
  </w:style>
  <w:style w:type="paragraph" w:styleId="18">
    <w:name w:val="index 8"/>
    <w:basedOn w:val="1"/>
    <w:next w:val="1"/>
    <w:uiPriority w:val="0"/>
    <w:pPr>
      <w:ind w:left="1400" w:leftChars="1400"/>
    </w:pPr>
  </w:style>
  <w:style w:type="paragraph" w:styleId="19">
    <w:name w:val="E-mail Signature"/>
    <w:basedOn w:val="1"/>
    <w:uiPriority w:val="0"/>
  </w:style>
  <w:style w:type="paragraph" w:styleId="20">
    <w:name w:val="List Number"/>
    <w:basedOn w:val="1"/>
    <w:uiPriority w:val="0"/>
    <w:pPr>
      <w:numPr>
        <w:ilvl w:val="0"/>
        <w:numId w:val="3"/>
      </w:numPr>
    </w:pPr>
  </w:style>
  <w:style w:type="paragraph" w:styleId="21">
    <w:name w:val="Normal Indent"/>
    <w:basedOn w:val="1"/>
    <w:uiPriority w:val="0"/>
    <w:pPr>
      <w:ind w:firstLine="420" w:firstLineChars="200"/>
    </w:pPr>
  </w:style>
  <w:style w:type="paragraph" w:styleId="22">
    <w:name w:val="caption"/>
    <w:basedOn w:val="1"/>
    <w:next w:val="1"/>
    <w:uiPriority w:val="0"/>
    <w:rPr>
      <w:rFonts w:ascii="Arial" w:hAnsi="Arial" w:eastAsia="黑体" w:cs="Arial"/>
      <w:sz w:val="20"/>
      <w:szCs w:val="20"/>
    </w:rPr>
  </w:style>
  <w:style w:type="paragraph" w:styleId="23">
    <w:name w:val="index 5"/>
    <w:basedOn w:val="1"/>
    <w:next w:val="1"/>
    <w:uiPriority w:val="0"/>
    <w:pPr>
      <w:ind w:left="800" w:leftChars="800"/>
    </w:pPr>
  </w:style>
  <w:style w:type="paragraph" w:styleId="24">
    <w:name w:val="List Bullet"/>
    <w:basedOn w:val="1"/>
    <w:uiPriority w:val="0"/>
    <w:pPr>
      <w:numPr>
        <w:ilvl w:val="0"/>
        <w:numId w:val="4"/>
      </w:numPr>
    </w:pPr>
  </w:style>
  <w:style w:type="paragraph" w:styleId="25">
    <w:name w:val="envelope address"/>
    <w:basedOn w:val="1"/>
    <w:uiPriority w:val="0"/>
    <w:pPr>
      <w:snapToGrid w:val="0"/>
      <w:ind w:left="100" w:leftChars="1400"/>
    </w:pPr>
    <w:rPr>
      <w:rFonts w:ascii="Arial" w:hAnsi="Arial" w:cs="Arial"/>
      <w:sz w:val="24"/>
    </w:rPr>
  </w:style>
  <w:style w:type="paragraph" w:styleId="26">
    <w:name w:val="Document Map"/>
    <w:basedOn w:val="1"/>
    <w:uiPriority w:val="0"/>
    <w:pPr>
      <w:shd w:val="clear" w:color="auto" w:fill="000080"/>
    </w:pPr>
  </w:style>
  <w:style w:type="paragraph" w:styleId="27">
    <w:name w:val="toa heading"/>
    <w:basedOn w:val="1"/>
    <w:next w:val="1"/>
    <w:uiPriority w:val="0"/>
    <w:pPr>
      <w:spacing w:before="120" w:beforeLines="0"/>
    </w:pPr>
    <w:rPr>
      <w:rFonts w:ascii="Arial" w:hAnsi="Arial" w:cs="Arial"/>
      <w:sz w:val="24"/>
    </w:rPr>
  </w:style>
  <w:style w:type="paragraph" w:styleId="28">
    <w:name w:val="annotation text"/>
    <w:basedOn w:val="1"/>
    <w:uiPriority w:val="0"/>
    <w:pPr>
      <w:jc w:val="left"/>
    </w:pPr>
  </w:style>
  <w:style w:type="paragraph" w:styleId="29">
    <w:name w:val="index 6"/>
    <w:basedOn w:val="1"/>
    <w:next w:val="1"/>
    <w:uiPriority w:val="0"/>
    <w:pPr>
      <w:ind w:left="1000" w:leftChars="1000"/>
    </w:pPr>
  </w:style>
  <w:style w:type="paragraph" w:styleId="30">
    <w:name w:val="Salutation"/>
    <w:basedOn w:val="1"/>
    <w:next w:val="1"/>
    <w:uiPriority w:val="0"/>
  </w:style>
  <w:style w:type="paragraph" w:styleId="31">
    <w:name w:val="Body Text 3"/>
    <w:basedOn w:val="1"/>
    <w:uiPriority w:val="0"/>
    <w:pPr>
      <w:spacing w:after="120" w:afterLines="0"/>
    </w:pPr>
    <w:rPr>
      <w:sz w:val="16"/>
      <w:szCs w:val="16"/>
    </w:rPr>
  </w:style>
  <w:style w:type="paragraph" w:styleId="32">
    <w:name w:val="Closing"/>
    <w:basedOn w:val="1"/>
    <w:uiPriority w:val="0"/>
    <w:pPr>
      <w:ind w:left="100" w:leftChars="2100"/>
    </w:pPr>
  </w:style>
  <w:style w:type="paragraph" w:styleId="33">
    <w:name w:val="List Bullet 3"/>
    <w:basedOn w:val="1"/>
    <w:uiPriority w:val="0"/>
    <w:pPr>
      <w:numPr>
        <w:ilvl w:val="0"/>
        <w:numId w:val="5"/>
      </w:numPr>
    </w:pPr>
  </w:style>
  <w:style w:type="paragraph" w:styleId="34">
    <w:name w:val="Body Text"/>
    <w:basedOn w:val="1"/>
    <w:uiPriority w:val="0"/>
    <w:pPr>
      <w:spacing w:after="120" w:afterLines="0"/>
    </w:pPr>
  </w:style>
  <w:style w:type="paragraph" w:styleId="35">
    <w:name w:val="Body Text Indent"/>
    <w:basedOn w:val="1"/>
    <w:uiPriority w:val="0"/>
    <w:pPr>
      <w:spacing w:after="120" w:afterLines="0"/>
      <w:ind w:left="420" w:leftChars="200"/>
    </w:pPr>
  </w:style>
  <w:style w:type="paragraph" w:styleId="36">
    <w:name w:val="List Number 3"/>
    <w:basedOn w:val="1"/>
    <w:uiPriority w:val="0"/>
    <w:pPr>
      <w:numPr>
        <w:ilvl w:val="0"/>
        <w:numId w:val="6"/>
      </w:numPr>
    </w:pPr>
  </w:style>
  <w:style w:type="paragraph" w:styleId="37">
    <w:name w:val="List 2"/>
    <w:basedOn w:val="1"/>
    <w:uiPriority w:val="0"/>
    <w:pPr>
      <w:ind w:left="100" w:leftChars="200" w:hanging="200" w:hangingChars="200"/>
    </w:pPr>
  </w:style>
  <w:style w:type="paragraph" w:styleId="38">
    <w:name w:val="List Continue"/>
    <w:basedOn w:val="1"/>
    <w:uiPriority w:val="0"/>
    <w:pPr>
      <w:spacing w:after="120" w:afterLines="0"/>
      <w:ind w:left="420" w:leftChars="200"/>
    </w:pPr>
  </w:style>
  <w:style w:type="paragraph" w:styleId="39">
    <w:name w:val="Block Text"/>
    <w:basedOn w:val="1"/>
    <w:uiPriority w:val="0"/>
    <w:pPr>
      <w:spacing w:after="120" w:afterLines="0"/>
      <w:ind w:left="1440" w:leftChars="700" w:right="1440" w:rightChars="700"/>
    </w:pPr>
  </w:style>
  <w:style w:type="paragraph" w:styleId="40">
    <w:name w:val="List Bullet 2"/>
    <w:basedOn w:val="1"/>
    <w:uiPriority w:val="0"/>
    <w:pPr>
      <w:numPr>
        <w:ilvl w:val="0"/>
        <w:numId w:val="7"/>
      </w:numPr>
    </w:pPr>
  </w:style>
  <w:style w:type="paragraph" w:styleId="41">
    <w:name w:val="HTML Address"/>
    <w:basedOn w:val="1"/>
    <w:uiPriority w:val="0"/>
    <w:rPr>
      <w:i/>
      <w:iCs/>
    </w:rPr>
  </w:style>
  <w:style w:type="paragraph" w:styleId="42">
    <w:name w:val="index 4"/>
    <w:basedOn w:val="1"/>
    <w:next w:val="1"/>
    <w:uiPriority w:val="0"/>
    <w:pPr>
      <w:ind w:left="600" w:leftChars="600"/>
    </w:pPr>
  </w:style>
  <w:style w:type="paragraph" w:styleId="43">
    <w:name w:val="toc 5"/>
    <w:basedOn w:val="1"/>
    <w:next w:val="1"/>
    <w:uiPriority w:val="0"/>
    <w:pPr>
      <w:ind w:left="1680" w:leftChars="800"/>
    </w:pPr>
  </w:style>
  <w:style w:type="paragraph" w:styleId="44">
    <w:name w:val="toc 3"/>
    <w:basedOn w:val="1"/>
    <w:next w:val="1"/>
    <w:uiPriority w:val="0"/>
    <w:pPr>
      <w:ind w:left="840" w:leftChars="400"/>
    </w:pPr>
  </w:style>
  <w:style w:type="paragraph" w:styleId="45">
    <w:name w:val="Plain Text"/>
    <w:basedOn w:val="1"/>
    <w:uiPriority w:val="0"/>
    <w:rPr>
      <w:rFonts w:ascii="宋体" w:hAnsi="Courier New" w:cs="Courier New"/>
      <w:szCs w:val="21"/>
    </w:rPr>
  </w:style>
  <w:style w:type="paragraph" w:styleId="46">
    <w:name w:val="List Bullet 5"/>
    <w:basedOn w:val="1"/>
    <w:uiPriority w:val="0"/>
    <w:pPr>
      <w:numPr>
        <w:ilvl w:val="0"/>
        <w:numId w:val="8"/>
      </w:numPr>
    </w:pPr>
  </w:style>
  <w:style w:type="paragraph" w:styleId="47">
    <w:name w:val="List Number 4"/>
    <w:basedOn w:val="1"/>
    <w:uiPriority w:val="0"/>
    <w:pPr>
      <w:numPr>
        <w:ilvl w:val="0"/>
        <w:numId w:val="9"/>
      </w:numPr>
    </w:pPr>
  </w:style>
  <w:style w:type="paragraph" w:styleId="48">
    <w:name w:val="toc 8"/>
    <w:basedOn w:val="1"/>
    <w:next w:val="1"/>
    <w:uiPriority w:val="0"/>
    <w:pPr>
      <w:ind w:left="2940" w:leftChars="1400"/>
    </w:pPr>
  </w:style>
  <w:style w:type="paragraph" w:styleId="49">
    <w:name w:val="index 3"/>
    <w:basedOn w:val="1"/>
    <w:next w:val="1"/>
    <w:uiPriority w:val="0"/>
    <w:pPr>
      <w:ind w:left="400" w:leftChars="400"/>
    </w:pPr>
  </w:style>
  <w:style w:type="paragraph" w:styleId="50">
    <w:name w:val="Date"/>
    <w:basedOn w:val="1"/>
    <w:next w:val="1"/>
    <w:uiPriority w:val="0"/>
    <w:pPr>
      <w:ind w:left="100" w:leftChars="2500"/>
    </w:pPr>
  </w:style>
  <w:style w:type="paragraph" w:styleId="51">
    <w:name w:val="Body Text Indent 2"/>
    <w:basedOn w:val="1"/>
    <w:uiPriority w:val="0"/>
    <w:pPr>
      <w:spacing w:after="120" w:afterLines="0" w:line="480" w:lineRule="auto"/>
      <w:ind w:left="420" w:leftChars="200"/>
    </w:pPr>
  </w:style>
  <w:style w:type="paragraph" w:styleId="52">
    <w:name w:val="endnote text"/>
    <w:basedOn w:val="1"/>
    <w:uiPriority w:val="0"/>
    <w:pPr>
      <w:snapToGrid w:val="0"/>
      <w:jc w:val="left"/>
    </w:pPr>
  </w:style>
  <w:style w:type="paragraph" w:styleId="53">
    <w:name w:val="List Continue 5"/>
    <w:basedOn w:val="1"/>
    <w:uiPriority w:val="0"/>
    <w:pPr>
      <w:spacing w:after="120" w:afterLines="0"/>
      <w:ind w:left="2100" w:leftChars="1000"/>
    </w:pPr>
  </w:style>
  <w:style w:type="paragraph" w:styleId="54">
    <w:name w:val="Balloon Text"/>
    <w:basedOn w:val="1"/>
    <w:uiPriority w:val="0"/>
    <w:rPr>
      <w:sz w:val="18"/>
      <w:szCs w:val="18"/>
    </w:rPr>
  </w:style>
  <w:style w:type="paragraph" w:styleId="5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6">
    <w:name w:val="envelope return"/>
    <w:basedOn w:val="1"/>
    <w:uiPriority w:val="0"/>
    <w:pPr>
      <w:snapToGrid w:val="0"/>
    </w:pPr>
    <w:rPr>
      <w:rFonts w:ascii="Arial" w:hAnsi="Arial" w:cs="Arial"/>
    </w:rPr>
  </w:style>
  <w:style w:type="paragraph" w:styleId="5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8">
    <w:name w:val="Signature"/>
    <w:basedOn w:val="1"/>
    <w:uiPriority w:val="0"/>
    <w:pPr>
      <w:ind w:left="100" w:leftChars="2100"/>
    </w:pPr>
  </w:style>
  <w:style w:type="paragraph" w:styleId="59">
    <w:name w:val="toc 1"/>
    <w:basedOn w:val="1"/>
    <w:next w:val="1"/>
    <w:uiPriority w:val="0"/>
  </w:style>
  <w:style w:type="paragraph" w:styleId="60">
    <w:name w:val="List Continue 4"/>
    <w:basedOn w:val="1"/>
    <w:uiPriority w:val="0"/>
    <w:pPr>
      <w:spacing w:after="120" w:afterLines="0"/>
      <w:ind w:left="1680" w:leftChars="800"/>
    </w:pPr>
  </w:style>
  <w:style w:type="paragraph" w:styleId="61">
    <w:name w:val="toc 4"/>
    <w:basedOn w:val="1"/>
    <w:next w:val="1"/>
    <w:uiPriority w:val="0"/>
    <w:pPr>
      <w:ind w:left="1260" w:leftChars="600"/>
    </w:pPr>
  </w:style>
  <w:style w:type="paragraph" w:styleId="62">
    <w:name w:val="index heading"/>
    <w:basedOn w:val="1"/>
    <w:next w:val="63"/>
    <w:uiPriority w:val="0"/>
    <w:rPr>
      <w:rFonts w:ascii="Arial" w:hAnsi="Arial" w:cs="Arial"/>
      <w:b/>
      <w:bCs/>
    </w:rPr>
  </w:style>
  <w:style w:type="paragraph" w:styleId="63">
    <w:name w:val="index 1"/>
    <w:basedOn w:val="1"/>
    <w:next w:val="1"/>
    <w:uiPriority w:val="0"/>
  </w:style>
  <w:style w:type="paragraph" w:styleId="64">
    <w:name w:val="Subtitle"/>
    <w:basedOn w:val="1"/>
    <w:uiPriority w:val="0"/>
    <w:pPr>
      <w:spacing w:before="240" w:beforeLines="0" w:after="60" w:afterLines="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5">
    <w:name w:val="List Number 5"/>
    <w:basedOn w:val="1"/>
    <w:uiPriority w:val="0"/>
    <w:pPr>
      <w:numPr>
        <w:ilvl w:val="0"/>
        <w:numId w:val="10"/>
      </w:numPr>
    </w:pPr>
  </w:style>
  <w:style w:type="paragraph" w:styleId="66">
    <w:name w:val="List"/>
    <w:basedOn w:val="1"/>
    <w:uiPriority w:val="0"/>
    <w:pPr>
      <w:ind w:left="200" w:hanging="200" w:hangingChars="200"/>
    </w:pPr>
  </w:style>
  <w:style w:type="paragraph" w:styleId="67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68">
    <w:name w:val="toc 6"/>
    <w:basedOn w:val="1"/>
    <w:next w:val="1"/>
    <w:uiPriority w:val="0"/>
    <w:pPr>
      <w:ind w:left="2100" w:leftChars="1000"/>
    </w:pPr>
  </w:style>
  <w:style w:type="paragraph" w:styleId="69">
    <w:name w:val="List 5"/>
    <w:basedOn w:val="1"/>
    <w:uiPriority w:val="0"/>
    <w:pPr>
      <w:ind w:left="100" w:leftChars="800" w:hanging="200" w:hangingChars="200"/>
    </w:pPr>
  </w:style>
  <w:style w:type="paragraph" w:styleId="70">
    <w:name w:val="Body Text Indent 3"/>
    <w:basedOn w:val="1"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uiPriority w:val="0"/>
    <w:pPr>
      <w:ind w:left="1200" w:leftChars="1200"/>
    </w:pPr>
  </w:style>
  <w:style w:type="paragraph" w:styleId="72">
    <w:name w:val="index 9"/>
    <w:basedOn w:val="1"/>
    <w:next w:val="1"/>
    <w:uiPriority w:val="0"/>
    <w:pPr>
      <w:ind w:left="1600" w:leftChars="1600"/>
    </w:pPr>
  </w:style>
  <w:style w:type="paragraph" w:styleId="73">
    <w:name w:val="table of figures"/>
    <w:basedOn w:val="1"/>
    <w:next w:val="1"/>
    <w:uiPriority w:val="0"/>
    <w:pPr>
      <w:ind w:leftChars="200" w:hanging="200" w:hangingChars="200"/>
    </w:pPr>
  </w:style>
  <w:style w:type="paragraph" w:styleId="74">
    <w:name w:val="toc 2"/>
    <w:basedOn w:val="1"/>
    <w:next w:val="1"/>
    <w:uiPriority w:val="0"/>
    <w:pPr>
      <w:ind w:left="420" w:leftChars="200"/>
    </w:pPr>
  </w:style>
  <w:style w:type="paragraph" w:styleId="75">
    <w:name w:val="toc 9"/>
    <w:basedOn w:val="1"/>
    <w:next w:val="1"/>
    <w:uiPriority w:val="0"/>
    <w:pPr>
      <w:ind w:left="3360" w:leftChars="1600"/>
    </w:pPr>
  </w:style>
  <w:style w:type="paragraph" w:styleId="76">
    <w:name w:val="Body Text 2"/>
    <w:basedOn w:val="1"/>
    <w:uiPriority w:val="0"/>
    <w:pPr>
      <w:spacing w:after="120" w:afterLines="0" w:line="480" w:lineRule="auto"/>
    </w:pPr>
  </w:style>
  <w:style w:type="paragraph" w:styleId="77">
    <w:name w:val="List 4"/>
    <w:basedOn w:val="1"/>
    <w:uiPriority w:val="0"/>
    <w:pPr>
      <w:ind w:left="100" w:leftChars="600" w:hanging="200" w:hangingChars="200"/>
    </w:pPr>
  </w:style>
  <w:style w:type="paragraph" w:styleId="78">
    <w:name w:val="List Continue 2"/>
    <w:basedOn w:val="1"/>
    <w:uiPriority w:val="0"/>
    <w:pPr>
      <w:spacing w:after="120" w:afterLines="0"/>
      <w:ind w:left="840" w:leftChars="400"/>
    </w:pPr>
  </w:style>
  <w:style w:type="paragraph" w:styleId="79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80">
    <w:name w:val="HTML Preformatted"/>
    <w:basedOn w:val="1"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82">
    <w:name w:val="List Continue 3"/>
    <w:basedOn w:val="1"/>
    <w:uiPriority w:val="0"/>
    <w:pPr>
      <w:spacing w:after="120" w:afterLines="0"/>
      <w:ind w:left="1260" w:leftChars="600"/>
    </w:pPr>
  </w:style>
  <w:style w:type="paragraph" w:styleId="83">
    <w:name w:val="index 2"/>
    <w:basedOn w:val="1"/>
    <w:next w:val="1"/>
    <w:uiPriority w:val="0"/>
    <w:pPr>
      <w:ind w:left="200" w:leftChars="200"/>
    </w:pPr>
  </w:style>
  <w:style w:type="paragraph" w:styleId="84">
    <w:name w:val="Title"/>
    <w:basedOn w:val="1"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85">
    <w:name w:val="annotation subject"/>
    <w:basedOn w:val="28"/>
    <w:next w:val="28"/>
    <w:uiPriority w:val="0"/>
    <w:rPr>
      <w:b/>
      <w:bCs/>
    </w:rPr>
  </w:style>
  <w:style w:type="paragraph" w:styleId="86">
    <w:name w:val="Body Text First Indent"/>
    <w:basedOn w:val="34"/>
    <w:uiPriority w:val="0"/>
    <w:pPr>
      <w:ind w:firstLine="420" w:firstLineChars="100"/>
    </w:pPr>
  </w:style>
  <w:style w:type="paragraph" w:styleId="87">
    <w:name w:val="Body Text First Indent 2"/>
    <w:basedOn w:val="35"/>
    <w:uiPriority w:val="0"/>
    <w:pPr>
      <w:ind w:firstLine="420" w:firstLineChars="200"/>
    </w:pPr>
  </w:style>
  <w:style w:type="character" w:styleId="90">
    <w:name w:val="Strong"/>
    <w:basedOn w:val="89"/>
    <w:qFormat/>
    <w:uiPriority w:val="0"/>
    <w:rPr>
      <w:b/>
    </w:rPr>
  </w:style>
  <w:style w:type="character" w:styleId="91">
    <w:name w:val="page number"/>
    <w:basedOn w:val="89"/>
    <w:uiPriority w:val="0"/>
  </w:style>
  <w:style w:type="character" w:styleId="92">
    <w:name w:val="FollowedHyperlink"/>
    <w:basedOn w:val="89"/>
    <w:uiPriority w:val="0"/>
    <w:rPr>
      <w:rFonts w:ascii="微软雅黑" w:hAnsi="微软雅黑" w:eastAsia="微软雅黑" w:cs="微软雅黑"/>
      <w:color w:val="666666"/>
      <w:sz w:val="21"/>
      <w:szCs w:val="21"/>
      <w:u w:val="none"/>
    </w:rPr>
  </w:style>
  <w:style w:type="character" w:styleId="93">
    <w:name w:val="HTML Definition"/>
    <w:basedOn w:val="89"/>
    <w:uiPriority w:val="0"/>
    <w:rPr>
      <w:i/>
      <w:color w:val="555555"/>
      <w:sz w:val="20"/>
      <w:szCs w:val="20"/>
      <w:bdr w:val="single" w:color="CCCCCC" w:sz="6" w:space="0"/>
      <w:shd w:val="clear" w:color="auto" w:fill="EEEEEE"/>
    </w:rPr>
  </w:style>
  <w:style w:type="character" w:styleId="94">
    <w:name w:val="Hyperlink"/>
    <w:basedOn w:val="89"/>
    <w:uiPriority w:val="0"/>
    <w:rPr>
      <w:rFonts w:hint="eastAsia" w:ascii="微软雅黑" w:hAnsi="微软雅黑" w:eastAsia="微软雅黑" w:cs="微软雅黑"/>
      <w:color w:val="666666"/>
      <w:sz w:val="21"/>
      <w:szCs w:val="21"/>
      <w:u w:val="none"/>
    </w:rPr>
  </w:style>
  <w:style w:type="character" w:styleId="95">
    <w:name w:val="HTML Code"/>
    <w:basedOn w:val="89"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96">
    <w:name w:val="HTML Keyboard"/>
    <w:basedOn w:val="89"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97">
    <w:name w:val="HTML Sample"/>
    <w:basedOn w:val="89"/>
    <w:uiPriority w:val="0"/>
    <w:rPr>
      <w:rFonts w:ascii="Consolas" w:hAnsi="Consolas" w:eastAsia="Consolas" w:cs="Consolas"/>
      <w:sz w:val="21"/>
      <w:szCs w:val="21"/>
    </w:rPr>
  </w:style>
  <w:style w:type="paragraph" w:customStyle="1" w:styleId="98">
    <w:name w:val="Char Char Char Char Char Char"/>
    <w:basedOn w:val="1"/>
    <w:uiPriority w:val="0"/>
  </w:style>
  <w:style w:type="paragraph" w:customStyle="1" w:styleId="99">
    <w:name w:val=" Char Char"/>
    <w:basedOn w:val="1"/>
    <w:uiPriority w:val="0"/>
    <w:pPr>
      <w:widowControl/>
      <w:spacing w:after="160" w:afterLines="0" w:line="240" w:lineRule="exact"/>
      <w:jc w:val="left"/>
    </w:pPr>
  </w:style>
  <w:style w:type="paragraph" w:customStyle="1" w:styleId="100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101">
    <w:name w:val=" Char Char Char1 Char Char Char Char"/>
    <w:basedOn w:val="1"/>
    <w:uiPriority w:val="0"/>
  </w:style>
  <w:style w:type="character" w:customStyle="1" w:styleId="102">
    <w:name w:val="old"/>
    <w:basedOn w:val="89"/>
    <w:uiPriority w:val="0"/>
    <w:rPr>
      <w:color w:val="999999"/>
    </w:rPr>
  </w:style>
  <w:style w:type="character" w:customStyle="1" w:styleId="103">
    <w:name w:val="glyphicon2"/>
    <w:basedOn w:val="89"/>
    <w:uiPriority w:val="0"/>
  </w:style>
  <w:style w:type="character" w:customStyle="1" w:styleId="104">
    <w:name w:val="hour_am"/>
    <w:basedOn w:val="89"/>
    <w:uiPriority w:val="0"/>
  </w:style>
  <w:style w:type="character" w:customStyle="1" w:styleId="105">
    <w:name w:val="hover6"/>
    <w:basedOn w:val="89"/>
    <w:uiPriority w:val="0"/>
    <w:rPr>
      <w:shd w:val="clear" w:color="auto" w:fill="EEEEEE"/>
    </w:rPr>
  </w:style>
  <w:style w:type="character" w:customStyle="1" w:styleId="106">
    <w:name w:val="font11"/>
    <w:basedOn w:val="89"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107">
    <w:name w:val="bsharetext"/>
    <w:basedOn w:val="89"/>
    <w:uiPriority w:val="0"/>
  </w:style>
  <w:style w:type="character" w:customStyle="1" w:styleId="108">
    <w:name w:val="hour_pm"/>
    <w:basedOn w:val="8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0&#36164;&#26009;\&#26376;&#25253;\&#26376;&#25253;&#36235;&#21183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0&#36164;&#26009;\&#26376;&#25253;\&#26376;&#25253;&#36235;&#21183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0&#36164;&#26009;\&#26376;&#25253;\&#26376;&#25253;&#36235;&#21183;&#2227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0&#36164;&#26009;\&#26376;&#25253;\&#26376;&#25253;&#36235;&#21183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100" b="0" i="0" u="none" strike="noStrike" kern="1200" baseline="0">
                <a:solidFill>
                  <a:srgbClr val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  <a:r>
              <a:rPr sz="1100" b="0" i="0" u="none" strike="noStrike" baseline="0">
                <a:solidFill>
                  <a:srgbClr val="000000"/>
                </a:solidFill>
                <a:uFillTx/>
                <a:latin typeface="Times New Roman" panose="02020603050405020304" charset="-122"/>
                <a:ea typeface="Times New Roman" panose="02020603050405020304" charset="-122"/>
                <a:cs typeface="Times New Roman" panose="02020603050405020304" charset="-122"/>
              </a:rPr>
              <a:t>规模以上工业增加值分月累计增速</a:t>
            </a:r>
            <a:r>
              <a:rPr lang="en-US" altLang="zh-CN" sz="1100" b="0" i="0" u="none" strike="noStrike" baseline="0">
                <a:solidFill>
                  <a:srgbClr val="000000"/>
                </a:solidFill>
                <a:uFillTx/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rPr>
              <a:t>%</a:t>
            </a:r>
            <a:endParaRPr lang="en-US" altLang="zh-CN" sz="1200" b="0" i="0" u="none" strike="noStrike" baseline="0">
              <a:solidFill>
                <a:srgbClr val="000000"/>
              </a:solidFill>
              <a:uFillTx/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33424388742474"/>
          <c:y val="0.038233112107928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966569468267582"/>
          <c:y val="0.304605061737571"/>
          <c:w val="0.8825"/>
          <c:h val="0.509"/>
        </c:manualLayout>
      </c:layout>
      <c:lineChart>
        <c:grouping val="standard"/>
        <c:varyColors val="0"/>
        <c:ser>
          <c:idx val="0"/>
          <c:order val="0"/>
          <c:tx>
            <c:strRef>
              <c:f>[月报趋势图.xls]工业增加值!$A$11</c:f>
              <c:strCache>
                <c:ptCount val="1"/>
                <c:pt idx="0">
                  <c:v>2019年</c:v>
                </c:pt>
              </c:strCache>
            </c:strRef>
          </c:tx>
          <c:spPr>
            <a:ln w="12700" cap="flat" cmpd="sng" algn="ctr">
              <a:solidFill>
                <a:srgbClr val="000000"/>
              </a:solidFill>
              <a:prstDash val="solid"/>
              <a:round/>
            </a:ln>
          </c:spPr>
          <c:marker>
            <c:symbol val="triangle"/>
            <c:size val="5"/>
            <c:spPr>
              <a:noFill/>
              <a:ln w="6350" cap="flat" cmpd="sng" algn="ctr">
                <a:solidFill>
                  <a:srgbClr val="000000">
                    <a:alpha val="100000"/>
                  </a:srgbClr>
                </a:solidFill>
                <a:prstDash val="solid"/>
                <a:round/>
              </a:ln>
            </c:spPr>
          </c:marker>
          <c:dPt>
            <c:idx val="4"/>
            <c:marker>
              <c:symbol val="triangle"/>
              <c:size val="5"/>
              <c:spPr>
                <a:noFill/>
                <a:ln w="6350" cap="flat" cmpd="sng" algn="ctr">
                  <a:solidFill>
                    <a:srgbClr val="000000">
                      <a:alpha val="100000"/>
                    </a:srgbClr>
                  </a:solidFill>
                  <a:prstDash val="solid"/>
                  <a:round/>
                </a:ln>
              </c:spPr>
            </c:marker>
            <c:bubble3D val="0"/>
            <c:explosion val="0"/>
            <c:spPr>
              <a:ln w="12700" cap="flat" cmpd="sng" algn="ctr">
                <a:solidFill>
                  <a:srgbClr val="000000"/>
                </a:solidFill>
                <a:prstDash val="solid"/>
                <a:round/>
              </a:ln>
            </c:spPr>
          </c:dPt>
          <c:dLbls>
            <c:dLbl>
              <c:idx val="0"/>
              <c:layout>
                <c:manualLayout>
                  <c:x val="0.00128589798542649"/>
                  <c:y val="-0.0099618482407799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128589798542649"/>
                  <c:y val="-0.014624841034336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0.00233149639677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0.014624841034336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117873981997428"/>
                  <c:y val="-0.014624841034336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246463780540077"/>
                  <c:y val="-0.014624841034336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375053579082726"/>
                  <c:y val="-0.016956337431114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00492927561080154"/>
                  <c:y val="-0.017168291649003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375053579082726"/>
                  <c:y val="-0.014836795252225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"/>
                  <c:y val="-0.017168291649003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00375053579082726"/>
                  <c:y val="-0.014624841034336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cap="none" normalizeH="0" baseline="0">
                        <a:solidFill>
                          <a:srgbClr val="000000"/>
                        </a:solidFill>
                        <a:uFill>
                          <a:solidFill>
                            <a:srgbClr val="000000"/>
                          </a:solidFill>
                        </a:u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sz="1000" b="0" u="none" strike="noStrike" cap="none" normalizeH="0">
                        <a:solidFill>
                          <a:srgbClr val="000000"/>
                        </a:solidFill>
                        <a:uFill>
                          <a:solidFill>
                            <a:srgbClr val="000000"/>
                          </a:solidFill>
                        </a:u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8.5</a:t>
                    </a:r>
                    <a:endParaRPr sz="1000" b="0" i="0" u="none" strike="noStrike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[月报趋势图.xls]工业增加值!$B$3:$L$3</c:f>
              <c:strCache>
                <c:ptCount val="11"/>
                <c:pt idx="0" c:formatCode="m&quot;月&quot;d&quot;日&quot;">
                  <c:v>1-2月</c:v>
                </c:pt>
                <c:pt idx="1">
                  <c:v>1-3月</c:v>
                </c:pt>
                <c:pt idx="2" c:formatCode="m&quot;月&quot;d&quot;日&quot;">
                  <c:v>1-4月</c:v>
                </c:pt>
                <c:pt idx="3">
                  <c:v>1-5月</c:v>
                </c:pt>
                <c:pt idx="4" c:formatCode="m&quot;月&quot;d&quot;日&quot;">
                  <c:v>1-6月</c:v>
                </c:pt>
                <c:pt idx="5">
                  <c:v>1-7月</c:v>
                </c:pt>
                <c:pt idx="6" c:formatCode="m&quot;月&quot;d&quot;日&quot;">
                  <c:v>1-8月</c:v>
                </c:pt>
                <c:pt idx="7">
                  <c:v>1-9月</c:v>
                </c:pt>
                <c:pt idx="8" c:formatCode="m&quot;月&quot;d&quot;日&quot;">
                  <c:v>1-10月</c:v>
                </c:pt>
                <c:pt idx="9">
                  <c:v>1-11月</c:v>
                </c:pt>
                <c:pt idx="10" c:formatCode="m&quot;月&quot;d&quot;日&quot;">
                  <c:v>1-12月</c:v>
                </c:pt>
              </c:strCache>
            </c:strRef>
          </c:cat>
          <c:val>
            <c:numRef>
              <c:f>[月报趋势图.xls]工业增加值!$B$11:$L$11</c:f>
              <c:numCache>
                <c:formatCode>General</c:formatCode>
                <c:ptCount val="11"/>
                <c:pt idx="0">
                  <c:v>8.4</c:v>
                </c:pt>
                <c:pt idx="1">
                  <c:v>9.2</c:v>
                </c:pt>
                <c:pt idx="2">
                  <c:v>8.7</c:v>
                </c:pt>
                <c:pt idx="3">
                  <c:v>8.5</c:v>
                </c:pt>
                <c:pt idx="4">
                  <c:v>8.6</c:v>
                </c:pt>
                <c:pt idx="5" c:formatCode="0.0_ ">
                  <c:v>8.6</c:v>
                </c:pt>
                <c:pt idx="6" c:formatCode="0.0_ ">
                  <c:v>8.6</c:v>
                </c:pt>
                <c:pt idx="7" c:formatCode="0.0_ ">
                  <c:v>8.5</c:v>
                </c:pt>
                <c:pt idx="8" c:formatCode="0.0_ ">
                  <c:v>8.5</c:v>
                </c:pt>
                <c:pt idx="9" c:formatCode="0.0_ ">
                  <c:v>8.6</c:v>
                </c:pt>
                <c:pt idx="10">
                  <c:v>8.8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[月报趋势图.xls]工业增加值!$A$12</c:f>
              <c:strCache>
                <c:ptCount val="1"/>
                <c:pt idx="0">
                  <c:v>2020年</c:v>
                </c:pt>
              </c:strCache>
            </c:strRef>
          </c:tx>
          <c:spPr>
            <a:ln w="127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circle"/>
            <c:size val="5"/>
            <c:spPr>
              <a:noFill/>
              <a:ln w="6350" cap="flat" cmpd="sng" algn="ctr">
                <a:solidFill>
                  <a:srgbClr val="00000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-0.00218340611353712"/>
                  <c:y val="0.016620498614958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[月报趋势图.xls]工业增加值!$B$3:$L$3</c:f>
              <c:strCache>
                <c:ptCount val="11"/>
                <c:pt idx="0" c:formatCode="m&quot;月&quot;d&quot;日&quot;">
                  <c:v>1-2月</c:v>
                </c:pt>
                <c:pt idx="1">
                  <c:v>1-3月</c:v>
                </c:pt>
                <c:pt idx="2" c:formatCode="m&quot;月&quot;d&quot;日&quot;">
                  <c:v>1-4月</c:v>
                </c:pt>
                <c:pt idx="3">
                  <c:v>1-5月</c:v>
                </c:pt>
                <c:pt idx="4" c:formatCode="m&quot;月&quot;d&quot;日&quot;">
                  <c:v>1-6月</c:v>
                </c:pt>
                <c:pt idx="5">
                  <c:v>1-7月</c:v>
                </c:pt>
                <c:pt idx="6" c:formatCode="m&quot;月&quot;d&quot;日&quot;">
                  <c:v>1-8月</c:v>
                </c:pt>
                <c:pt idx="7">
                  <c:v>1-9月</c:v>
                </c:pt>
                <c:pt idx="8" c:formatCode="m&quot;月&quot;d&quot;日&quot;">
                  <c:v>1-10月</c:v>
                </c:pt>
                <c:pt idx="9">
                  <c:v>1-11月</c:v>
                </c:pt>
                <c:pt idx="10" c:formatCode="m&quot;月&quot;d&quot;日&quot;">
                  <c:v>1-12月</c:v>
                </c:pt>
              </c:strCache>
            </c:strRef>
          </c:cat>
          <c:val>
            <c:numRef>
              <c:f>[月报趋势图.xls]工业增加值!$B$12:$L$12</c:f>
              <c:numCache>
                <c:formatCode>0.0_ </c:formatCode>
                <c:ptCount val="11"/>
                <c:pt idx="0">
                  <c:v>-1.5</c:v>
                </c:pt>
                <c:pt idx="1" c:formatCode="General">
                  <c:v>-1.3</c:v>
                </c:pt>
                <c:pt idx="2" c:formatCode="General">
                  <c:v>0.2</c:v>
                </c:pt>
                <c:pt idx="3" c:formatCode="General">
                  <c:v>1.8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1940713"/>
        <c:axId val="677746067"/>
      </c:lineChart>
      <c:catAx>
        <c:axId val="621940713"/>
        <c:scaling>
          <c:orientation val="minMax"/>
        </c:scaling>
        <c:delete val="0"/>
        <c:axPos val="b"/>
        <c:majorTickMark val="in"/>
        <c:minorTickMark val="none"/>
        <c:tickLblPos val="low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Times New Roman" panose="02020603050405020304" charset="-122"/>
                <a:ea typeface="Times New Roman" panose="02020603050405020304" charset="-122"/>
                <a:cs typeface="Times New Roman" panose="02020603050405020304" charset="-122"/>
              </a:defRPr>
            </a:pPr>
          </a:p>
        </c:txPr>
        <c:crossAx val="677746067"/>
        <c:crossesAt val="0"/>
        <c:auto val="0"/>
        <c:lblAlgn val="ctr"/>
        <c:lblOffset val="100"/>
        <c:tickLblSkip val="1"/>
        <c:noMultiLvlLbl val="0"/>
      </c:catAx>
      <c:valAx>
        <c:axId val="677746067"/>
        <c:scaling>
          <c:orientation val="minMax"/>
          <c:max val="10"/>
          <c:min val="-2"/>
        </c:scaling>
        <c:delete val="0"/>
        <c:axPos val="l"/>
        <c:numFmt formatCode="General" sourceLinked="0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Times New Roman" panose="02020603050405020304" charset="-122"/>
                <a:ea typeface="Times New Roman" panose="02020603050405020304" charset="-122"/>
                <a:cs typeface="Times New Roman" panose="02020603050405020304" charset="-122"/>
              </a:defRPr>
            </a:pPr>
          </a:p>
        </c:txPr>
        <c:crossAx val="621940713"/>
        <c:crosses val="autoZero"/>
        <c:crossBetween val="between"/>
        <c:majorUnit val="2"/>
        <c:minorUnit val="1"/>
      </c:valAx>
      <c:spPr>
        <a:noFill/>
        <a:ln w="3175">
          <a:noFill/>
        </a:ln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</a:p>
        </c:txPr>
      </c:legendEntry>
      <c:layout>
        <c:manualLayout>
          <c:xMode val="edge"/>
          <c:yMode val="edge"/>
          <c:x val="0.255481599443491"/>
          <c:y val="0.124405312842259"/>
          <c:w val="0.473493100944081"/>
          <c:h val="0.065843621399177"/>
        </c:manualLayout>
      </c:layout>
      <c:overlay val="0"/>
      <c:spPr>
        <a:noFill/>
        <a:ln w="3175">
          <a:solidFill>
            <a:srgbClr val="000000">
              <a:alpha val="100000"/>
            </a:srgbClr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cap="none" spc="0" normalizeH="0" baseline="0">
              <a:solidFill>
                <a:srgbClr val="000000"/>
              </a:solidFill>
              <a:uFill>
                <a:solidFill>
                  <a:srgbClr val="000000"/>
                </a:solidFill>
              </a:u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Times New Roman" panose="02020603050405020304" charset="-122"/>
          <a:ea typeface="Times New Roman" panose="02020603050405020304" charset="-122"/>
          <a:cs typeface="Times New Roman" panose="0202060305040502030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1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 sz="1100" b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固定资产投资分月累计增速%</a:t>
            </a:r>
            <a:endParaRPr sz="1100" b="0" i="0" u="none" strike="noStrike" baseline="0">
              <a:solidFill>
                <a:srgbClr val="000000"/>
              </a:solidFill>
              <a:uFill>
                <a:solidFill>
                  <a:srgbClr val="000000"/>
                </a:solidFill>
              </a:u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endParaRPr>
          </a:p>
        </c:rich>
      </c:tx>
      <c:layout>
        <c:manualLayout>
          <c:xMode val="edge"/>
          <c:yMode val="edge"/>
          <c:x val="0.299498942803879"/>
          <c:y val="0.0067363261663516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906601032385403"/>
          <c:y val="0.195895833569177"/>
          <c:w val="0.868292050317728"/>
          <c:h val="0.727391109115402"/>
        </c:manualLayout>
      </c:layout>
      <c:lineChart>
        <c:grouping val="standard"/>
        <c:varyColors val="0"/>
        <c:ser>
          <c:idx val="0"/>
          <c:order val="0"/>
          <c:tx>
            <c:strRef>
              <c:f>[月报趋势图.xls]固定资产投资!$B$13</c:f>
              <c:strCache>
                <c:ptCount val="1"/>
                <c:pt idx="0">
                  <c:v>2019年</c:v>
                </c:pt>
              </c:strCache>
            </c:strRef>
          </c:tx>
          <c:spPr>
            <a:ln w="127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triangle"/>
            <c:size val="5"/>
            <c:spPr>
              <a:noFill/>
              <a:ln w="6350" cap="flat" cmpd="sng" algn="ctr">
                <a:solidFill>
                  <a:srgbClr val="000000">
                    <a:alpha val="100000"/>
                  </a:srgbClr>
                </a:solidFill>
                <a:prstDash val="solid"/>
                <a:round/>
              </a:ln>
            </c:spPr>
          </c:marker>
          <c:dPt>
            <c:idx val="9"/>
            <c:marker>
              <c:symbol val="triangle"/>
              <c:size val="5"/>
              <c:spPr>
                <a:noFill/>
                <a:ln w="6350" cap="flat" cmpd="sng" algn="ctr">
                  <a:solidFill>
                    <a:srgbClr val="000000">
                      <a:alpha val="100000"/>
                    </a:srgbClr>
                  </a:solidFill>
                  <a:prstDash val="solid"/>
                  <a:round/>
                </a:ln>
              </c:spPr>
            </c:marker>
            <c:bubble3D val="0"/>
            <c:explosion val="0"/>
            <c:spPr>
              <a:ln w="12700" cap="rnd" cmpd="sng" algn="ctr">
                <a:solidFill>
                  <a:srgbClr val="000000"/>
                </a:solidFill>
                <a:prstDash val="solid"/>
                <a:round/>
              </a:ln>
            </c:spPr>
          </c:dPt>
          <c:dLbls>
            <c:dLbl>
              <c:idx val="0"/>
              <c:layout/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/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/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/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/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_);[Red]\(#,##0.0\)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[月报趋势图.xls]固定资产投资!$C$12:$M$12</c:f>
              <c:strCache>
                <c:ptCount val="11"/>
                <c:pt idx="0" c:formatCode="m&quot;月&quot;d&quot;日&quot;">
                  <c:v>1-2月</c:v>
                </c:pt>
                <c:pt idx="1" c:formatCode="m&quot;月&quot;d&quot;日&quot;">
                  <c:v>1-3月</c:v>
                </c:pt>
                <c:pt idx="2" c:formatCode="m&quot;月&quot;d&quot;日&quot;">
                  <c:v>1-4月</c:v>
                </c:pt>
                <c:pt idx="3" c:formatCode="m&quot;月&quot;d&quot;日&quot;">
                  <c:v>1-5月</c:v>
                </c:pt>
                <c:pt idx="4" c:formatCode="m&quot;月&quot;d&quot;日&quot;">
                  <c:v>1-6月</c:v>
                </c:pt>
                <c:pt idx="5" c:formatCode="m&quot;月&quot;d&quot;日&quot;">
                  <c:v>1-7月</c:v>
                </c:pt>
                <c:pt idx="6" c:formatCode="m&quot;月&quot;d&quot;日&quot;">
                  <c:v>1-8月</c:v>
                </c:pt>
                <c:pt idx="7" c:formatCode="m&quot;月&quot;d&quot;日&quot;">
                  <c:v>1-9月</c:v>
                </c:pt>
                <c:pt idx="8" c:formatCode="m&quot;月&quot;d&quot;日&quot;">
                  <c:v>1-10月</c:v>
                </c:pt>
                <c:pt idx="9" c:formatCode="m&quot;月&quot;d&quot;日&quot;">
                  <c:v>1-11月</c:v>
                </c:pt>
                <c:pt idx="10" c:formatCode="m&quot;月&quot;d&quot;日&quot;">
                  <c:v>1-12月</c:v>
                </c:pt>
              </c:strCache>
            </c:strRef>
          </c:cat>
          <c:val>
            <c:numRef>
              <c:f>[月报趋势图.xls]固定资产投资!$C$13:$M$13</c:f>
              <c:numCache>
                <c:formatCode>General</c:formatCode>
                <c:ptCount val="11"/>
                <c:pt idx="0">
                  <c:v>8.4</c:v>
                </c:pt>
                <c:pt idx="1">
                  <c:v>8.9</c:v>
                </c:pt>
                <c:pt idx="2">
                  <c:v>9.2</c:v>
                </c:pt>
                <c:pt idx="3" c:formatCode="0.0_ ">
                  <c:v>10</c:v>
                </c:pt>
                <c:pt idx="4" c:formatCode="0.0_ ">
                  <c:v>9.9</c:v>
                </c:pt>
                <c:pt idx="5">
                  <c:v>10.6</c:v>
                </c:pt>
                <c:pt idx="6">
                  <c:v>9.9</c:v>
                </c:pt>
                <c:pt idx="7">
                  <c:v>10</c:v>
                </c:pt>
                <c:pt idx="8" c:formatCode="0.0_ ">
                  <c:v>10.6</c:v>
                </c:pt>
                <c:pt idx="9">
                  <c:v>10.9</c:v>
                </c:pt>
                <c:pt idx="10" c:formatCode="0.0_ ">
                  <c:v>12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[月报趋势图.xls]固定资产投资!$B$14</c:f>
              <c:strCache>
                <c:ptCount val="1"/>
                <c:pt idx="0">
                  <c:v>2020年</c:v>
                </c:pt>
              </c:strCache>
            </c:strRef>
          </c:tx>
          <c:spPr>
            <a:ln w="127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circle"/>
            <c:size val="5"/>
            <c:spPr>
              <a:noFill/>
              <a:ln w="6350" cap="flat" cmpd="sng" algn="ctr">
                <a:solidFill>
                  <a:srgbClr val="000000">
                    <a:alpha val="100000"/>
                  </a:srgbClr>
                </a:solidFill>
                <a:prstDash val="solid"/>
                <a:round/>
              </a:ln>
            </c:spPr>
          </c:marker>
          <c:dPt>
            <c:idx val="1"/>
            <c:marker>
              <c:symbol val="circle"/>
              <c:size val="5"/>
              <c:spPr>
                <a:noFill/>
                <a:ln w="6350" cap="flat" cmpd="sng" algn="ctr">
                  <a:solidFill>
                    <a:srgbClr val="000000">
                      <a:alpha val="100000"/>
                    </a:srgbClr>
                  </a:solidFill>
                  <a:prstDash val="solid"/>
                  <a:round/>
                </a:ln>
              </c:spPr>
            </c:marker>
            <c:bubble3D val="0"/>
            <c:explosion val="0"/>
            <c:spPr>
              <a:ln w="12700" cap="rnd" cmpd="sng" algn="ctr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marker>
              <c:symbol val="circle"/>
              <c:size val="5"/>
              <c:spPr>
                <a:noFill/>
                <a:ln w="6350" cap="flat" cmpd="sng" algn="ctr">
                  <a:solidFill>
                    <a:srgbClr val="000000">
                      <a:alpha val="100000"/>
                    </a:srgbClr>
                  </a:solidFill>
                  <a:prstDash val="solid"/>
                  <a:round/>
                </a:ln>
              </c:spPr>
            </c:marker>
            <c:bubble3D val="0"/>
            <c:explosion val="0"/>
            <c:spPr>
              <a:ln w="12700" cap="rnd" cmpd="sng" algn="ctr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marker>
              <c:symbol val="circle"/>
              <c:size val="5"/>
              <c:spPr>
                <a:noFill/>
                <a:ln w="6350" cap="flat" cmpd="sng" algn="ctr">
                  <a:solidFill>
                    <a:srgbClr val="000000">
                      <a:alpha val="100000"/>
                    </a:srgbClr>
                  </a:solidFill>
                  <a:prstDash val="solid"/>
                  <a:round/>
                </a:ln>
              </c:spPr>
            </c:marker>
            <c:bubble3D val="0"/>
            <c:explosion val="0"/>
            <c:spPr>
              <a:ln w="12700" cap="rnd" cmpd="sng" algn="ctr">
                <a:solidFill>
                  <a:srgbClr val="000000"/>
                </a:solidFill>
                <a:prstDash val="solid"/>
                <a:round/>
              </a:ln>
            </c:spPr>
          </c:dPt>
          <c:dLbls>
            <c:dLbl>
              <c:idx val="0"/>
              <c:layout>
                <c:manualLayout>
                  <c:x val="-0.026205068917642"/>
                  <c:y val="0.0402677318363381"/>
                </c:manualLayout>
              </c:layout>
              <c:numFmt formatCode="General" sourceLinked="1"/>
              <c:spPr>
                <a:noFill/>
                <a:ln w="12700" cmpd="sng">
                  <a:noFill/>
                  <a:prstDash val="solid"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228898426323319"/>
                  <c:y val="-0.0508474576271186"/>
                </c:manualLayout>
              </c:layout>
              <c:numFmt formatCode="General" sourceLinked="1"/>
              <c:spPr>
                <a:noFill/>
                <a:ln w="12700" cmpd="sng">
                  <a:noFill/>
                  <a:prstDash val="solid"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273528517880661"/>
                  <c:y val="-0.0489496226799918"/>
                </c:manualLayout>
              </c:layout>
              <c:numFmt formatCode="General" sourceLinked="1"/>
              <c:spPr>
                <a:noFill/>
                <a:ln w="12700" cmpd="sng">
                  <a:noFill/>
                  <a:prstDash val="solid"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299339349142386"/>
                  <c:y val="-0.0491804666188996"/>
                </c:manualLayout>
              </c:layout>
              <c:numFmt formatCode="General" sourceLinked="1"/>
              <c:spPr>
                <a:noFill/>
                <a:ln w="12700" cmpd="sng">
                  <a:noFill/>
                  <a:prstDash val="solid"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436296116582886"/>
                  <c:y val="-0.0356586569252414"/>
                </c:manualLayout>
              </c:layout>
              <c:numFmt formatCode="General" sourceLinked="1"/>
              <c:spPr>
                <a:noFill/>
                <a:ln w="12700" cmpd="sng">
                  <a:noFill/>
                  <a:prstDash val="solid"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61254612546125"/>
                  <c:y val="0.0382165605095541"/>
                </c:manualLayout>
              </c:layout>
              <c:numFmt formatCode="General" sourceLinked="1"/>
              <c:spPr>
                <a:noFill/>
                <a:ln w="12700" cmpd="sng">
                  <a:noFill/>
                  <a:prstDash val="solid"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282186329106732"/>
                  <c:y val="-0.0308442380915883"/>
                </c:manualLayout>
              </c:layout>
              <c:numFmt formatCode="General" sourceLinked="1"/>
              <c:spPr>
                <a:noFill/>
                <a:ln w="12700" cmpd="sng">
                  <a:noFill/>
                  <a:prstDash val="solid"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354912317231774"/>
                  <c:y val="-0.0305935141749949"/>
                </c:manualLayout>
              </c:layout>
              <c:numFmt formatCode="General" sourceLinked="1"/>
              <c:spPr>
                <a:noFill/>
                <a:ln w="12700" cmpd="sng">
                  <a:noFill/>
                  <a:prstDash val="solid"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496099780608553"/>
                  <c:y val="0.0292268805719438"/>
                </c:manualLayout>
              </c:layout>
              <c:numFmt formatCode="General" sourceLinked="1"/>
              <c:spPr>
                <a:noFill/>
                <a:ln w="12700" cmpd="sng">
                  <a:noFill/>
                  <a:prstDash val="solid"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719557195571956"/>
                  <c:y val="-0.0286624203821656"/>
                </c:manualLayout>
              </c:layout>
              <c:numFmt formatCode="General" sourceLinked="1"/>
              <c:spPr>
                <a:noFill/>
                <a:ln w="12700" cmpd="sng">
                  <a:noFill/>
                  <a:prstDash val="solid"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12700" cmpd="sng">
                <a:noFill/>
                <a:prstDash val="solid"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[月报趋势图.xls]固定资产投资!$C$12:$M$12</c:f>
              <c:strCache>
                <c:ptCount val="11"/>
                <c:pt idx="0" c:formatCode="m&quot;月&quot;d&quot;日&quot;">
                  <c:v>1-2月</c:v>
                </c:pt>
                <c:pt idx="1" c:formatCode="m&quot;月&quot;d&quot;日&quot;">
                  <c:v>1-3月</c:v>
                </c:pt>
                <c:pt idx="2" c:formatCode="m&quot;月&quot;d&quot;日&quot;">
                  <c:v>1-4月</c:v>
                </c:pt>
                <c:pt idx="3" c:formatCode="m&quot;月&quot;d&quot;日&quot;">
                  <c:v>1-5月</c:v>
                </c:pt>
                <c:pt idx="4" c:formatCode="m&quot;月&quot;d&quot;日&quot;">
                  <c:v>1-6月</c:v>
                </c:pt>
                <c:pt idx="5" c:formatCode="m&quot;月&quot;d&quot;日&quot;">
                  <c:v>1-7月</c:v>
                </c:pt>
                <c:pt idx="6" c:formatCode="m&quot;月&quot;d&quot;日&quot;">
                  <c:v>1-8月</c:v>
                </c:pt>
                <c:pt idx="7" c:formatCode="m&quot;月&quot;d&quot;日&quot;">
                  <c:v>1-9月</c:v>
                </c:pt>
                <c:pt idx="8" c:formatCode="m&quot;月&quot;d&quot;日&quot;">
                  <c:v>1-10月</c:v>
                </c:pt>
                <c:pt idx="9" c:formatCode="m&quot;月&quot;d&quot;日&quot;">
                  <c:v>1-11月</c:v>
                </c:pt>
                <c:pt idx="10" c:formatCode="m&quot;月&quot;d&quot;日&quot;">
                  <c:v>1-12月</c:v>
                </c:pt>
              </c:strCache>
            </c:strRef>
          </c:cat>
          <c:val>
            <c:numRef>
              <c:f>[月报趋势图.xls]固定资产投资!$C$14:$M$14</c:f>
              <c:numCache>
                <c:formatCode>General</c:formatCode>
                <c:ptCount val="11"/>
                <c:pt idx="0">
                  <c:v>-12.8</c:v>
                </c:pt>
                <c:pt idx="1">
                  <c:v>-6.7</c:v>
                </c:pt>
                <c:pt idx="2">
                  <c:v>-5.9</c:v>
                </c:pt>
                <c:pt idx="3">
                  <c:v>-11.8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3284368"/>
        <c:axId val="545696654"/>
      </c:lineChart>
      <c:catAx>
        <c:axId val="303284368"/>
        <c:scaling>
          <c:orientation val="minMax"/>
        </c:scaling>
        <c:delete val="0"/>
        <c:axPos val="b"/>
        <c:majorTickMark val="in"/>
        <c:minorTickMark val="none"/>
        <c:tickLblPos val="low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</a:p>
        </c:txPr>
        <c:crossAx val="545696654"/>
        <c:crosses val="autoZero"/>
        <c:auto val="0"/>
        <c:lblAlgn val="ctr"/>
        <c:lblOffset val="100"/>
        <c:tickLblSkip val="1"/>
        <c:noMultiLvlLbl val="0"/>
      </c:catAx>
      <c:valAx>
        <c:axId val="545696654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03284368"/>
        <c:crosses val="autoZero"/>
        <c:crossBetween val="between"/>
      </c:valAx>
      <c:spPr>
        <a:noFill/>
        <a:ln w="3175">
          <a:noFill/>
        </a:ln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ayout>
        <c:manualLayout>
          <c:xMode val="edge"/>
          <c:yMode val="edge"/>
          <c:x val="0.308973745194149"/>
          <c:y val="0.0981645482288281"/>
          <c:w val="0.384762441539864"/>
          <c:h val="0.072072190962273"/>
        </c:manualLayout>
      </c:layout>
      <c:overlay val="0"/>
      <c:spPr>
        <a:noFill/>
        <a:ln w="3175">
          <a:solidFill>
            <a:srgbClr val="000000">
              <a:alpha val="100000"/>
            </a:srgbClr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cap="none" spc="0" normalizeH="0" baseline="0">
              <a:solidFill>
                <a:srgbClr val="000000"/>
              </a:solidFill>
              <a:uFill>
                <a:solidFill>
                  <a:srgbClr val="000000"/>
                </a:solidFill>
              </a:u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900" b="0" i="0" u="none" strike="noStrike" kern="1200" cap="none" spc="0" normalizeH="0" baseline="0">
          <a:solidFill>
            <a:srgbClr val="000000"/>
          </a:solidFill>
          <a:uFill>
            <a:solidFill>
              <a:srgbClr val="000000"/>
            </a:solidFill>
          </a:u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1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100" b="0">
                <a:solidFill>
                  <a:srgbClr val="000000">
                    <a:alpha val="100000"/>
                  </a:srgbClr>
                </a:solidFill>
                <a:uFillTx/>
              </a:rPr>
              <a:t>规模以上工业利润分月累计增速 %</a:t>
            </a:r>
            <a:endParaRPr sz="1100" b="0" i="0" u="none" strike="noStrike" baseline="0">
              <a:solidFill>
                <a:srgbClr val="000000">
                  <a:alpha val="100000"/>
                </a:srgbClr>
              </a:solidFill>
              <a:uFillTx/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76498358214664"/>
          <c:y val="0.032991148784191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398406374502"/>
          <c:y val="0.26735514972064"/>
          <c:w val="0.82375"/>
          <c:h val="0.58425"/>
        </c:manualLayout>
      </c:layout>
      <c:lineChart>
        <c:grouping val="standard"/>
        <c:varyColors val="0"/>
        <c:ser>
          <c:idx val="0"/>
          <c:order val="0"/>
          <c:tx>
            <c:strRef>
              <c:f>[月报趋势图.xls]工业增加值!$A$40</c:f>
              <c:strCache>
                <c:ptCount val="1"/>
                <c:pt idx="0">
                  <c:v>2019年</c:v>
                </c:pt>
              </c:strCache>
            </c:strRef>
          </c:tx>
          <c:spPr>
            <a:ln w="127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triangle"/>
            <c:size val="5"/>
            <c:spPr>
              <a:noFill/>
              <a:ln w="6350" cap="flat" cmpd="sng" algn="ctr">
                <a:solidFill>
                  <a:srgbClr val="000000"/>
                </a:solidFill>
                <a:prstDash val="solid"/>
                <a:round/>
              </a:ln>
            </c:spPr>
          </c:marker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0110619469026549"/>
                  <c:y val="-0.0031928480204342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0.0090597946446547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cap="none" normalizeH="0" baseline="0">
                        <a:solidFill>
                          <a:srgbClr val="000000"/>
                        </a:solidFill>
                        <a:uFill>
                          <a:solidFill>
                            <a:srgbClr val="000000"/>
                          </a:solidFill>
                        </a:u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sz="1000" b="0" u="none" strike="noStrike" cap="none" normalizeH="0">
                        <a:solidFill>
                          <a:srgbClr val="000000"/>
                        </a:solidFill>
                        <a:uFill>
                          <a:solidFill>
                            <a:srgbClr val="000000"/>
                          </a:solidFill>
                        </a:u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-17.5</a:t>
                    </a:r>
                    <a:endPara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val>
            <c:numRef>
              <c:f>[月报趋势图.xls]工业增加值!$B$40:$L$40</c:f>
              <c:numCache>
                <c:formatCode>0.0_ </c:formatCode>
                <c:ptCount val="11"/>
                <c:pt idx="0">
                  <c:v>43.6</c:v>
                </c:pt>
                <c:pt idx="1">
                  <c:v>-5.1</c:v>
                </c:pt>
                <c:pt idx="2">
                  <c:v>-17.5</c:v>
                </c:pt>
                <c:pt idx="3">
                  <c:v>-19</c:v>
                </c:pt>
                <c:pt idx="4">
                  <c:v>-16.7</c:v>
                </c:pt>
                <c:pt idx="5">
                  <c:v>-20.9</c:v>
                </c:pt>
                <c:pt idx="6">
                  <c:v>-16.5</c:v>
                </c:pt>
                <c:pt idx="7">
                  <c:v>-16.4</c:v>
                </c:pt>
                <c:pt idx="8">
                  <c:v>-15.8</c:v>
                </c:pt>
                <c:pt idx="9">
                  <c:v>-10.7</c:v>
                </c:pt>
                <c:pt idx="10">
                  <c:v>-7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[月报趋势图.xls]工业增加值!$A$41</c:f>
              <c:strCache>
                <c:ptCount val="1"/>
                <c:pt idx="0">
                  <c:v>2020年</c:v>
                </c:pt>
              </c:strCache>
            </c:strRef>
          </c:tx>
          <c:spPr>
            <a:ln w="127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circle"/>
            <c:size val="5"/>
            <c:spPr>
              <a:noFill/>
              <a:ln w="6350" cap="flat" cmpd="sng" algn="ctr">
                <a:solidFill>
                  <a:srgbClr val="000000"/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521704650591945"/>
                  <c:y val="0.042209118879597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7808764940239"/>
                  <c:y val="0.03784644816639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48029353839536"/>
                  <c:y val="0.12147109465721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.022003034901365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2408952959028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23696682464455"/>
                  <c:y val="0.02408952959028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113331959612611"/>
                  <c:y val="0.02408952959028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"/>
                  <c:y val="0.021813353566009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23696682464455"/>
                  <c:y val="0.021813353566009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123634865031939"/>
                  <c:y val="0.0087253414264036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0123634865031939"/>
                  <c:y val="0.017450682852807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val>
            <c:numRef>
              <c:f>[月报趋势图.xls]工业增加值!$B$41:$L$41</c:f>
              <c:numCache>
                <c:formatCode>0.0_ </c:formatCode>
                <c:ptCount val="11"/>
                <c:pt idx="0">
                  <c:v>-59.9</c:v>
                </c:pt>
                <c:pt idx="1" c:formatCode="General">
                  <c:v>-32.1</c:v>
                </c:pt>
                <c:pt idx="2" c:formatCode="General">
                  <c:v>-14.2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6792574"/>
        <c:axId val="657404468"/>
      </c:lineChart>
      <c:catAx>
        <c:axId val="696792574"/>
        <c:scaling>
          <c:orientation val="minMax"/>
        </c:scaling>
        <c:delete val="0"/>
        <c:axPos val="b"/>
        <c:majorTickMark val="in"/>
        <c:minorTickMark val="none"/>
        <c:tickLblPos val="low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</a:p>
        </c:txPr>
        <c:crossAx val="657404468"/>
        <c:crosses val="autoZero"/>
        <c:auto val="1"/>
        <c:lblAlgn val="ctr"/>
        <c:lblOffset val="100"/>
        <c:tickLblSkip val="1"/>
        <c:noMultiLvlLbl val="0"/>
      </c:catAx>
      <c:valAx>
        <c:axId val="657404468"/>
        <c:scaling>
          <c:orientation val="minMax"/>
          <c:max val="60"/>
          <c:min val="-60"/>
        </c:scaling>
        <c:delete val="0"/>
        <c:axPos val="l"/>
        <c:numFmt formatCode="General" sourceLinked="0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Times New Roman" panose="02020603050405020304" charset="0"/>
                <a:ea typeface="Times New Roman" panose="02020603050405020304" charset="-122"/>
                <a:cs typeface="Times New Roman" panose="02020603050405020304" charset="-122"/>
              </a:defRPr>
            </a:pPr>
          </a:p>
        </c:txPr>
        <c:crossAx val="696792574"/>
        <c:crosses val="autoZero"/>
        <c:crossBetween val="between"/>
      </c:valAx>
      <c:spPr>
        <a:noFill/>
        <a:ln w="3175">
          <a:noFill/>
        </a:ln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Times New Roman" panose="02020603050405020304" charset="0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Times New Roman" panose="02020603050405020304" charset="0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ayout>
        <c:manualLayout>
          <c:xMode val="edge"/>
          <c:yMode val="edge"/>
          <c:x val="0.318005350859336"/>
          <c:y val="0.124295723323831"/>
          <c:w val="0.4065"/>
          <c:h val="0.0675"/>
        </c:manualLayout>
      </c:layout>
      <c:overlay val="0"/>
      <c:spPr>
        <a:noFill/>
        <a:ln w="3175">
          <a:solidFill>
            <a:srgbClr val="000000">
              <a:alpha val="100000"/>
            </a:srgbClr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cap="none" spc="0" normalizeH="0" baseline="0">
              <a:solidFill>
                <a:srgbClr val="000000">
                  <a:alpha val="100000"/>
                </a:srgbClr>
              </a:solidFill>
              <a:uFill>
                <a:solidFill>
                  <a:srgbClr val="000000">
                    <a:alpha val="100000"/>
                  </a:srgbClr>
                </a:solidFill>
              </a:u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475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1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 sz="1100" b="0">
                <a:solidFill>
                  <a:srgbClr val="000000">
                    <a:alpha val="100000"/>
                  </a:srgbClr>
                </a:solidFill>
                <a:uFillTx/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社会消费品零售总额分月累计增速 %</a:t>
            </a:r>
            <a:endParaRPr sz="1100" b="0" i="0" u="none" strike="noStrike" baseline="0">
              <a:solidFill>
                <a:srgbClr val="000000">
                  <a:alpha val="100000"/>
                </a:srgbClr>
              </a:solidFill>
              <a:uFillTx/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endParaRPr>
          </a:p>
        </c:rich>
      </c:tx>
      <c:layout>
        <c:manualLayout>
          <c:xMode val="edge"/>
          <c:yMode val="edge"/>
          <c:x val="0.280178107320298"/>
          <c:y val="0.0082236842105263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41786160457737"/>
          <c:y val="0.301891419879783"/>
          <c:w val="0.89225"/>
          <c:h val="0.53275"/>
        </c:manualLayout>
      </c:layout>
      <c:lineChart>
        <c:grouping val="standard"/>
        <c:varyColors val="0"/>
        <c:ser>
          <c:idx val="0"/>
          <c:order val="0"/>
          <c:tx>
            <c:strRef>
              <c:f>[月报趋势图.xls]固定资产投资!$A$44</c:f>
              <c:strCache>
                <c:ptCount val="1"/>
                <c:pt idx="0">
                  <c:v>2019年</c:v>
                </c:pt>
              </c:strCache>
            </c:strRef>
          </c:tx>
          <c:spPr>
            <a:ln w="127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triangle"/>
            <c:size val="5"/>
            <c:spPr>
              <a:noFill/>
              <a:ln w="6350" cap="flat" cmpd="sng" algn="ctr">
                <a:solidFill>
                  <a:srgbClr val="00000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[月报趋势图.xls]固定资产投资!$B$43:$L$43</c:f>
              <c:strCache>
                <c:ptCount val="11"/>
                <c:pt idx="0">
                  <c:v>1-2月</c:v>
                </c:pt>
                <c:pt idx="1" c:formatCode="m&quot;月&quot;d&quot;日&quot;">
                  <c:v>1-3月</c:v>
                </c:pt>
                <c:pt idx="2" c:formatCode="m&quot;月&quot;d&quot;日&quot;">
                  <c:v>1-4月</c:v>
                </c:pt>
                <c:pt idx="3" c:formatCode="m&quot;月&quot;d&quot;日&quot;">
                  <c:v>1-5月</c:v>
                </c:pt>
                <c:pt idx="4" c:formatCode="m&quot;月&quot;d&quot;日&quot;">
                  <c:v>1-6月</c:v>
                </c:pt>
                <c:pt idx="5" c:formatCode="m&quot;月&quot;d&quot;日&quot;">
                  <c:v>1-7月</c:v>
                </c:pt>
                <c:pt idx="6" c:formatCode="m&quot;月&quot;d&quot;日&quot;">
                  <c:v>1-8月</c:v>
                </c:pt>
                <c:pt idx="7" c:formatCode="m&quot;月&quot;d&quot;日&quot;">
                  <c:v>1-9月</c:v>
                </c:pt>
                <c:pt idx="8" c:formatCode="m&quot;月&quot;d&quot;日&quot;">
                  <c:v>1-10月</c:v>
                </c:pt>
                <c:pt idx="9" c:formatCode="m&quot;月&quot;d&quot;日&quot;">
                  <c:v>1-11月</c:v>
                </c:pt>
                <c:pt idx="10" c:formatCode="m&quot;月&quot;d&quot;日&quot;">
                  <c:v>1-12月</c:v>
                </c:pt>
              </c:strCache>
            </c:strRef>
          </c:cat>
          <c:val>
            <c:numRef>
              <c:f>[月报趋势图.xls]固定资产投资!$B$44:$L$44</c:f>
              <c:numCache>
                <c:formatCode>General</c:formatCode>
                <c:ptCount val="11"/>
                <c:pt idx="0">
                  <c:v>10.6</c:v>
                </c:pt>
                <c:pt idx="1" c:formatCode="0.0_ ">
                  <c:v>11</c:v>
                </c:pt>
                <c:pt idx="2" c:formatCode="0.0_ ">
                  <c:v>10.8</c:v>
                </c:pt>
                <c:pt idx="3">
                  <c:v>10.9</c:v>
                </c:pt>
                <c:pt idx="4">
                  <c:v>11.2</c:v>
                </c:pt>
                <c:pt idx="5" c:formatCode="0.0_ ">
                  <c:v>11</c:v>
                </c:pt>
                <c:pt idx="6">
                  <c:v>10.9</c:v>
                </c:pt>
                <c:pt idx="7" c:formatCode="0.0_ ">
                  <c:v>11</c:v>
                </c:pt>
                <c:pt idx="8" c:formatCode="0.0_ ">
                  <c:v>11</c:v>
                </c:pt>
                <c:pt idx="9" c:formatCode="0.0_ ">
                  <c:v>11</c:v>
                </c:pt>
                <c:pt idx="10" c:formatCode="0.0_ ">
                  <c:v>11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[月报趋势图.xls]固定资产投资!$A$45</c:f>
              <c:strCache>
                <c:ptCount val="1"/>
                <c:pt idx="0">
                  <c:v>2020年</c:v>
                </c:pt>
              </c:strCache>
            </c:strRef>
          </c:tx>
          <c:spPr>
            <a:ln w="127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circle"/>
            <c:size val="5"/>
            <c:spPr>
              <a:noFill/>
              <a:ln w="6350" cap="flat" cmpd="sng" algn="ctr">
                <a:solidFill>
                  <a:srgbClr val="00000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-0.0430306746866648"/>
                  <c:y val="-0.066867517380780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37916988066383"/>
                  <c:y val="-0.067083730391438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20197209350711"/>
                  <c:y val="-0.061071327188095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268931108532152"/>
                  <c:y val="-0.044218250000000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4553621114556"/>
                  <c:y val="-0.03197191411670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363214484458224"/>
                  <c:y val="-0.056075908284311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456012452301455"/>
                  <c:y val="0.035941605849582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482905815645123"/>
                  <c:y val="0.023764432451253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411399952301455"/>
                  <c:y val="0.027855153203342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482947770093012"/>
                  <c:y val="0.027855153203342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143095635583115"/>
                  <c:y val="-0.0069637883008356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[月报趋势图.xls]固定资产投资!$B$43:$L$43</c:f>
              <c:strCache>
                <c:ptCount val="11"/>
                <c:pt idx="0">
                  <c:v>1-2月</c:v>
                </c:pt>
                <c:pt idx="1" c:formatCode="m&quot;月&quot;d&quot;日&quot;">
                  <c:v>1-3月</c:v>
                </c:pt>
                <c:pt idx="2" c:formatCode="m&quot;月&quot;d&quot;日&quot;">
                  <c:v>1-4月</c:v>
                </c:pt>
                <c:pt idx="3" c:formatCode="m&quot;月&quot;d&quot;日&quot;">
                  <c:v>1-5月</c:v>
                </c:pt>
                <c:pt idx="4" c:formatCode="m&quot;月&quot;d&quot;日&quot;">
                  <c:v>1-6月</c:v>
                </c:pt>
                <c:pt idx="5" c:formatCode="m&quot;月&quot;d&quot;日&quot;">
                  <c:v>1-7月</c:v>
                </c:pt>
                <c:pt idx="6" c:formatCode="m&quot;月&quot;d&quot;日&quot;">
                  <c:v>1-8月</c:v>
                </c:pt>
                <c:pt idx="7" c:formatCode="m&quot;月&quot;d&quot;日&quot;">
                  <c:v>1-9月</c:v>
                </c:pt>
                <c:pt idx="8" c:formatCode="m&quot;月&quot;d&quot;日&quot;">
                  <c:v>1-10月</c:v>
                </c:pt>
                <c:pt idx="9" c:formatCode="m&quot;月&quot;d&quot;日&quot;">
                  <c:v>1-11月</c:v>
                </c:pt>
                <c:pt idx="10" c:formatCode="m&quot;月&quot;d&quot;日&quot;">
                  <c:v>1-12月</c:v>
                </c:pt>
              </c:strCache>
            </c:strRef>
          </c:cat>
          <c:val>
            <c:numRef>
              <c:f>[月报趋势图.xls]固定资产投资!$B$45:$L$45</c:f>
              <c:numCache>
                <c:formatCode>General</c:formatCode>
                <c:ptCount val="11"/>
                <c:pt idx="0">
                  <c:v>-25.8</c:v>
                </c:pt>
                <c:pt idx="1">
                  <c:v>-21.6</c:v>
                </c:pt>
                <c:pt idx="2">
                  <c:v>-16.7</c:v>
                </c:pt>
                <c:pt idx="3">
                  <c:v>-12.6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9206942"/>
        <c:axId val="197031319"/>
      </c:lineChart>
      <c:dateAx>
        <c:axId val="239206942"/>
        <c:scaling>
          <c:orientation val="minMax"/>
        </c:scaling>
        <c:delete val="0"/>
        <c:axPos val="b"/>
        <c:numFmt formatCode="#,##0.00_);[Red]\(#,##0.00\)" sourceLinked="0"/>
        <c:majorTickMark val="in"/>
        <c:minorTickMark val="none"/>
        <c:tickLblPos val="low"/>
        <c:spPr>
          <a:ln w="12700" cap="sq" cmpd="sng" algn="ctr">
            <a:solidFill>
              <a:srgbClr val="000000"/>
            </a:solidFill>
            <a:prstDash val="solid"/>
            <a:miter lim="800000"/>
          </a:ln>
        </c:spPr>
        <c:txPr>
          <a:bodyPr rot="0" spcFirstLastPara="0" vertOverflow="ellipsis" vert="horz" wrap="square" anchor="ctr" anchorCtr="1" forceAA="0"/>
          <a:lstStyle/>
          <a:p>
            <a:pPr>
              <a:defRPr lang="zh-CN" sz="8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</a:p>
        </c:txPr>
        <c:crossAx val="197031319"/>
        <c:crosses val="autoZero"/>
        <c:auto val="1"/>
        <c:lblAlgn val="ctr"/>
        <c:lblOffset val="100"/>
        <c:baseTimeUnit val="days"/>
      </c:dateAx>
      <c:valAx>
        <c:axId val="197031319"/>
        <c:scaling>
          <c:orientation val="minMax"/>
          <c:max val="15"/>
          <c:min val="-30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12700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Times New Roman" panose="02020603050405020304" charset="-122"/>
                <a:ea typeface="Times New Roman" panose="02020603050405020304" charset="-122"/>
                <a:cs typeface="Times New Roman" panose="02020603050405020304" charset="-122"/>
              </a:defRPr>
            </a:pPr>
          </a:p>
        </c:txPr>
        <c:crossAx val="239206942"/>
        <c:crosses val="autoZero"/>
        <c:crossBetween val="between"/>
        <c:majorUnit val="5"/>
        <c:minorUnit val="0.5"/>
      </c:valAx>
      <c:spPr>
        <a:noFill/>
        <a:ln w="3175">
          <a:noFill/>
        </a:ln>
      </c:spPr>
    </c:plotArea>
    <c:legend>
      <c:legendPos val="r"/>
      <c:layout>
        <c:manualLayout>
          <c:xMode val="edge"/>
          <c:yMode val="edge"/>
          <c:x val="0.323352510460251"/>
          <c:y val="0.110745614035088"/>
          <c:w val="0.39"/>
          <c:h val="0.087"/>
        </c:manualLayout>
      </c:layout>
      <c:overlay val="0"/>
      <c:spPr>
        <a:noFill/>
        <a:ln w="3175">
          <a:solidFill>
            <a:srgbClr val="000000">
              <a:alpha val="100000"/>
            </a:srgbClr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rgbClr val="000000">
                  <a:alpha val="100000"/>
                </a:srgbClr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575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50</Pages>
  <Words>9039</Words>
  <Characters>15910</Characters>
  <Lines>5303</Lines>
  <Paragraphs>4989</Paragraphs>
  <TotalTime>151</TotalTime>
  <ScaleCrop>false</ScaleCrop>
  <LinksUpToDate>false</LinksUpToDate>
  <CharactersWithSpaces>19960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2018-10-24T09:33:00Z</dcterms:created>
  <dc:creator>raizhao</dc:creator>
  <cp:lastModifiedBy>ps</cp:lastModifiedBy>
  <cp:lastPrinted>2020-05-21T01:40:33Z</cp:lastPrinted>
  <dcterms:modified xsi:type="dcterms:W3CDTF">2020-06-19T01:40:15Z</dcterms:modified>
  <dc:title>1-  月全市经济运行简析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