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="156" w:beforeLines="50" w:after="312" w:afterLines="10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全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区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2019年</w:t>
      </w:r>
      <w:r>
        <w:rPr>
          <w:rFonts w:hint="eastAsia" w:ascii="方正大标宋简体" w:eastAsia="方正大标宋简体"/>
          <w:sz w:val="36"/>
          <w:szCs w:val="36"/>
        </w:rPr>
        <w:t>经济运行简析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2019年,面对经济运行环境的复杂局面，全区上下以习近平新时代中国特色社会主义思想为指导，坚持稳中求进工作总基调，积极推动高质量发展，经济运行呈现稳中有升、稳中有进的发展态势，为2020年实现全面建成小康社会奠定坚实的基础。</w:t>
      </w:r>
    </w:p>
    <w:p>
      <w:pPr>
        <w:shd w:val="clear" w:color="auto" w:fill="auto"/>
        <w:spacing w:line="520" w:lineRule="exact"/>
        <w:ind w:firstLine="420" w:firstLineChars="200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一、工业生产增长较快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1-12月</w:t>
      </w:r>
      <w:r>
        <w:rPr>
          <w:rFonts w:hint="eastAsia" w:ascii="宋体" w:hAnsi="宋体" w:cs="仿宋_GB2312"/>
          <w:sz w:val="21"/>
          <w:szCs w:val="21"/>
          <w:highlight w:val="none"/>
        </w:rPr>
        <w:t>，</w:t>
      </w: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全区规模以上工业增加值增长8.8%，高于全省平均水平1个百分点，较上年同期加快0.3个百分点，居全省第1位。</w:t>
      </w:r>
    </w:p>
    <w:p>
      <w:pPr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 xml:space="preserve">    </w:t>
      </w: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二、固定资产投资稳中有升</w:t>
      </w:r>
    </w:p>
    <w:p>
      <w:pPr>
        <w:shd w:val="clear" w:color="auto" w:fill="auto"/>
        <w:spacing w:line="520" w:lineRule="exact"/>
        <w:ind w:firstLine="420" w:firstLineChars="200"/>
        <w:rPr>
          <w:rFonts w:hint="default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1-12月，全区固定资产投资（不含农户）同比增长12%，较上年同期提高1.9个百分比，高于全省平均水平4个百分点，居全省第1位。</w:t>
      </w:r>
      <w:r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  <w:t>全区房地产投资额15.8亿元，同比下降1.1%，居全省第9位。</w:t>
      </w: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全区商品房销售面积85.7万平方米，同比增长29.1%，居全省第一位。</w:t>
      </w:r>
    </w:p>
    <w:p>
      <w:pPr>
        <w:shd w:val="clear" w:color="auto" w:fill="auto"/>
        <w:spacing w:line="520" w:lineRule="exact"/>
        <w:ind w:firstLine="420" w:firstLineChars="200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三、消费市场平稳运行</w:t>
      </w:r>
    </w:p>
    <w:p>
      <w:pPr>
        <w:shd w:val="clear" w:color="auto" w:fill="auto"/>
        <w:spacing w:line="520" w:lineRule="exact"/>
        <w:ind w:firstLine="420" w:firstLineChars="200"/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1-12月，全区社会消费品零售总额完成201.7亿元，增长11%，</w:t>
      </w:r>
      <w:r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  <w:t>与1-11月持平，高于全省平均水平0.6个百分点，居全省第4位。其中，12月当月全区社会消费品零售总额19.3亿元，增长11.6%，高于全省平均水平0.3个百分点，居全省第9位。</w:t>
      </w:r>
    </w:p>
    <w:p>
      <w:pPr>
        <w:widowControl/>
        <w:shd w:val="clear" w:color="auto" w:fill="auto"/>
        <w:spacing w:line="520" w:lineRule="exact"/>
        <w:ind w:firstLine="480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四、财政收入持续稳定增长</w:t>
      </w:r>
    </w:p>
    <w:p>
      <w:pPr>
        <w:widowControl/>
        <w:shd w:val="clear" w:color="auto" w:fill="auto"/>
        <w:spacing w:line="520" w:lineRule="exact"/>
        <w:ind w:firstLine="480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1-12月，全区一般公共预算收入完成57.1亿元，增长13.8%，高于全省平均水平6.5个百分点，居全省第2位。其中，税收收入完成44.7亿元，增长6.0%,低于全省平均水平0.9个百分点。税收占一般公共预算收入的比重为78.3%，高于全省平均水平</w:t>
      </w:r>
      <w:r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个百分点,居全省第</w:t>
      </w:r>
      <w:r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位。</w:t>
      </w:r>
    </w:p>
    <w:p>
      <w:pPr>
        <w:widowControl/>
        <w:shd w:val="clear" w:color="auto" w:fill="auto"/>
        <w:spacing w:line="520" w:lineRule="exact"/>
        <w:ind w:firstLine="480"/>
        <w:rPr>
          <w:rFonts w:hint="default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全区一般公共预算支出77.5亿元，增长12.3%，高于全省平均水平1.9个百分点，居全省第8位。其中，八项支出完成</w:t>
      </w:r>
      <w:r>
        <w:rPr>
          <w:rFonts w:hint="eastAsia" w:ascii="宋体" w:hAnsi="宋体" w:cs="仿宋_GB2312"/>
          <w:sz w:val="21"/>
          <w:szCs w:val="21"/>
          <w:highlight w:val="none"/>
          <w:shd w:val="clear" w:color="auto" w:fill="auto"/>
          <w:lang w:val="en-US" w:eastAsia="zh-CN"/>
        </w:rPr>
        <w:t>59亿元，增长16%。</w:t>
      </w:r>
    </w:p>
    <w:p>
      <w:pPr>
        <w:widowControl/>
        <w:shd w:val="clear" w:color="auto" w:fill="auto"/>
        <w:spacing w:line="520" w:lineRule="exact"/>
        <w:ind w:firstLine="480"/>
        <w:rPr>
          <w:rFonts w:hint="default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12月末，金融机构人民币各项存款余额521.3亿元，增长13%，居全省第9位；金融机构人民币各项贷款余额327.3亿元，增长14.5%，居全省第8位。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五、居民消费价格平稳增长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  <w:t>2019年，全区居民消费价格同比上涨2.9%，比上年同期涨幅扩大1.5个百分点。八大类商品和服务价格呈“四升四降”的态势。其中，食品烟酒类、其他用品和服务类、生活用品及服务类和医疗保健类分别累计上涨8.0%、6.7%、4.0%和2.1%；居住类、交通通信类、衣着类、教育文化和娱乐类价格分别下跌0.4%、0.9%、1.8%和0.1%。</w:t>
      </w: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360" w:lineRule="auto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hd w:val="clear" w:color="auto" w:fill="auto"/>
        <w:spacing w:line="360" w:lineRule="auto"/>
        <w:ind w:firstLine="1280" w:firstLineChars="400"/>
        <w:jc w:val="both"/>
        <w:rPr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主要经济指标发展趋势图</w:t>
      </w:r>
    </w:p>
    <w:p>
      <w:pPr>
        <w:shd w:val="clear" w:color="auto" w:fill="auto"/>
        <w:jc w:val="left"/>
        <w:rPr>
          <w:color w:val="000000"/>
        </w:rPr>
      </w:pPr>
    </w:p>
    <w:p>
      <w:pPr>
        <w:shd w:val="clear" w:color="auto" w:fill="auto"/>
        <w:jc w:val="center"/>
        <w:rPr>
          <w:rFonts w:hint="eastAsia"/>
          <w:color w:val="000000"/>
        </w:rPr>
      </w:pPr>
      <w:r>
        <w:drawing>
          <wp:inline distT="0" distB="0" distL="114300" distR="114300">
            <wp:extent cx="3867150" cy="2724150"/>
            <wp:effectExtent l="0" t="0" r="0" b="0"/>
            <wp:docPr id="6" name="图表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auto"/>
        <w:jc w:val="both"/>
        <w:outlineLvl w:val="0"/>
        <w:rPr>
          <w:rFonts w:hint="eastAsia"/>
          <w:color w:val="000000"/>
        </w:rPr>
      </w:pPr>
    </w:p>
    <w:p>
      <w:pPr>
        <w:shd w:val="clear" w:color="auto" w:fill="auto"/>
        <w:jc w:val="center"/>
        <w:outlineLvl w:val="0"/>
        <w:rPr>
          <w:rFonts w:hint="eastAsia"/>
          <w:color w:val="000000"/>
        </w:rPr>
      </w:pPr>
      <w:r>
        <w:drawing>
          <wp:inline distT="0" distB="0" distL="114300" distR="114300">
            <wp:extent cx="3867150" cy="2381250"/>
            <wp:effectExtent l="0" t="0" r="0" b="0"/>
            <wp:docPr id="8" name="图表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hd w:val="clear" w:color="auto" w:fill="auto"/>
        <w:jc w:val="center"/>
        <w:outlineLvl w:val="0"/>
        <w:rPr>
          <w:rFonts w:hint="eastAsia"/>
        </w:rPr>
      </w:pPr>
    </w:p>
    <w:p>
      <w:pPr>
        <w:shd w:val="clear" w:color="auto" w:fill="auto"/>
        <w:jc w:val="center"/>
        <w:outlineLvl w:val="0"/>
        <w:rPr>
          <w:rFonts w:hint="eastAsia"/>
        </w:rPr>
      </w:pPr>
      <w:r>
        <w:drawing>
          <wp:inline distT="0" distB="0" distL="114300" distR="114300">
            <wp:extent cx="3867150" cy="22098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auto"/>
        <w:jc w:val="center"/>
        <w:outlineLvl w:val="0"/>
        <w:rPr>
          <w:rFonts w:hint="eastAsia"/>
          <w:color w:val="000000"/>
        </w:rPr>
      </w:pPr>
    </w:p>
    <w:p>
      <w:pPr>
        <w:shd w:val="clear" w:color="auto" w:fill="auto"/>
        <w:jc w:val="center"/>
        <w:outlineLvl w:val="0"/>
        <w:rPr>
          <w:rFonts w:hint="eastAsia"/>
          <w:color w:val="000000"/>
        </w:rPr>
      </w:pPr>
    </w:p>
    <w:p>
      <w:pPr>
        <w:shd w:val="clear" w:color="auto" w:fill="auto"/>
        <w:jc w:val="center"/>
        <w:outlineLvl w:val="0"/>
        <w:rPr>
          <w:rFonts w:hint="eastAsia"/>
          <w:color w:val="000000"/>
        </w:rPr>
      </w:pPr>
    </w:p>
    <w:p>
      <w:pPr>
        <w:shd w:val="clear" w:color="auto" w:fill="auto"/>
        <w:tabs>
          <w:tab w:val="left" w:pos="2067"/>
        </w:tabs>
        <w:jc w:val="center"/>
        <w:outlineLvl w:val="0"/>
        <w:rPr>
          <w:rFonts w:hint="eastAsia"/>
          <w:color w:val="000000"/>
        </w:rPr>
      </w:pPr>
    </w:p>
    <w:p>
      <w:pPr>
        <w:shd w:val="clear" w:color="auto" w:fill="auto"/>
        <w:tabs>
          <w:tab w:val="left" w:pos="2067"/>
        </w:tabs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drawing>
          <wp:inline distT="0" distB="0" distL="114300" distR="114300">
            <wp:extent cx="3867150" cy="1981200"/>
            <wp:effectExtent l="0" t="0" r="0" b="0"/>
            <wp:docPr id="7" name="图表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hd w:val="clear" w:color="auto" w:fill="auto"/>
        <w:tabs>
          <w:tab w:val="left" w:pos="2067"/>
        </w:tabs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hd w:val="clear" w:color="auto" w:fill="auto"/>
        <w:tabs>
          <w:tab w:val="left" w:pos="2067"/>
        </w:tabs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主要经济指标</w:t>
      </w:r>
    </w:p>
    <w:p>
      <w:pPr>
        <w:shd w:val="clear" w:color="auto" w:fill="auto"/>
        <w:jc w:val="center"/>
        <w:rPr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0"/>
        <w:gridCol w:w="2974"/>
        <w:gridCol w:w="1101"/>
        <w:gridCol w:w="1043"/>
        <w:gridCol w:w="96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3124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101" w:type="dxa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487.41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322.06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151.58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auto"/>
              </w:rPr>
              <w:t>8.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规模以上工业产销率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8.1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-1.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201.7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地方财政收入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75.68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57.07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地方财政支出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91.36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77.5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金融机构月末存款余额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</w:rPr>
              <w:t>5</w:t>
            </w: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21.3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住户存款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金融机构月末贷款余额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146.8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#出口总额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34.7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29064.7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36038.5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居民人均可支配收入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20235.4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</w:rPr>
              <w:t>102.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9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</w:rPr>
              <w:t>2.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规模以上工业营业收入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393"/>
              </w:tabs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974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利润总额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lang w:val="en-US" w:eastAsia="zh-CN"/>
              </w:rPr>
              <w:t>-10.7</w:t>
            </w:r>
          </w:p>
        </w:tc>
      </w:tr>
    </w:tbl>
    <w:p>
      <w:pPr>
        <w:shd w:val="clear" w:color="auto" w:fill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8335" w:h="11850"/>
          <w:pgMar w:top="1134" w:right="1134" w:bottom="1134" w:left="1134" w:header="567" w:footer="851" w:gutter="0"/>
          <w:cols w:space="720" w:num="1"/>
          <w:docGrid w:type="lines" w:linePitch="310" w:charSpace="0"/>
        </w:sect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规模以上工业增加值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"/>
        <w:gridCol w:w="3476"/>
        <w:gridCol w:w="1374"/>
        <w:gridCol w:w="121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exact"/>
          <w:jc w:val="center"/>
        </w:trPr>
        <w:tc>
          <w:tcPr>
            <w:tcW w:w="365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3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#轻工业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重工业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#国有企业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集体企业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股份制企业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外商和港澳台商投资企业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-26.8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其他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非公有制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#大型企业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小型企业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#大中型企业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其中：国有控股企业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#高技术产业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#内资企业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港、澳、台商投资企业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外商投资企业</w:t>
            </w:r>
          </w:p>
        </w:tc>
        <w:tc>
          <w:tcPr>
            <w:tcW w:w="13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-26.8</w:t>
            </w:r>
          </w:p>
        </w:tc>
        <w:tc>
          <w:tcPr>
            <w:tcW w:w="12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-16.6</w:t>
            </w:r>
          </w:p>
        </w:tc>
      </w:tr>
    </w:tbl>
    <w:p>
      <w:pPr>
        <w:shd w:val="clear" w:color="auto" w:fill="auto"/>
        <w:spacing w:line="100" w:lineRule="atLeast"/>
        <w:rPr>
          <w:rFonts w:hint="eastAsia"/>
          <w:color w:val="000000"/>
          <w:sz w:val="15"/>
          <w:szCs w:val="15"/>
        </w:rPr>
      </w:pPr>
      <w:r>
        <w:rPr>
          <w:rFonts w:hint="eastAsia"/>
          <w:b/>
          <w:bCs/>
          <w:color w:val="000000"/>
          <w:sz w:val="15"/>
          <w:szCs w:val="15"/>
        </w:rPr>
        <w:t xml:space="preserve">注: </w:t>
      </w:r>
      <w:r>
        <w:rPr>
          <w:rFonts w:hint="eastAsia"/>
          <w:color w:val="000000"/>
          <w:sz w:val="15"/>
          <w:szCs w:val="15"/>
        </w:rPr>
        <w:t xml:space="preserve">1.规模以上工业统计范围为年主营业务收入2000万元及以上的全部工业企业; </w:t>
      </w:r>
    </w:p>
    <w:p>
      <w:pPr>
        <w:shd w:val="clear" w:color="auto" w:fill="auto"/>
        <w:spacing w:line="100" w:lineRule="atLeast"/>
        <w:rPr>
          <w:rFonts w:hint="eastAsia"/>
          <w:color w:val="000000"/>
          <w:sz w:val="15"/>
          <w:szCs w:val="18"/>
        </w:rPr>
      </w:pPr>
      <w:r>
        <w:rPr>
          <w:rFonts w:hint="eastAsia"/>
          <w:color w:val="000000"/>
          <w:sz w:val="15"/>
          <w:szCs w:val="15"/>
        </w:rPr>
        <w:t xml:space="preserve">   2.增加值增长速度按可比价计算。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规模以上工业分行业增加值增速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306"/>
        <w:gridCol w:w="138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7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工业行业合计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#高成长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产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#传统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支柱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行业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煤炭开采和洗选业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黑色金属矿采选业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-40.0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有色金属矿采选业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2121.9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242.1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农副食品加工业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-4.3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1013.4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酒、饮料和精制茶制造业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-18.6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皮革、毛皮、羽毛及其制品和制鞋业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-62.1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-47.2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木材加工和木、竹、藤、棕、草制品业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造纸和纸制品业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印刷和记录媒介复制业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文教、工美、体育和娱乐用品制造业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-79.7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-49.6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石油加工、炼焦和核燃料加工业</w:t>
            </w:r>
          </w:p>
        </w:tc>
        <w:tc>
          <w:tcPr>
            <w:tcW w:w="138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-28.7 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-19.5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规模以上工业分行业增加值增速（续）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"/>
        <w:gridCol w:w="3440"/>
        <w:gridCol w:w="125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60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化学原料和化学制品制造业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医药制造业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-56.1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化学纤维制造业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138.7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橡胶和塑料制品业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-36.7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黑色金属冶炼和压延加工业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有色金属冶炼和压延加工业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金属制品业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-39.4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-61.6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18"/>
                <w:szCs w:val="18"/>
                <w:lang w:bidi="ar"/>
              </w:rPr>
              <w:t>铁路、船舶、航空航天和其他运输设备制造业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电气机械和器材制造业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计算机、通信和其他电子设备制造业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仪器仪表制造业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-31.9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废弃资源综合利用业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-5.1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电力、热力生产和供应业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燃气生产和供应业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-15.5 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水的生产和供应业</w:t>
            </w:r>
          </w:p>
        </w:tc>
        <w:tc>
          <w:tcPr>
            <w:tcW w:w="12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-18.4 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规模以上工业产品产销率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113"/>
        <w:gridCol w:w="984"/>
        <w:gridCol w:w="985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283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984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同比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工业产品销售率总计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轻工业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重工业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国有企业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集体企业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股份制企业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外商和港澳台商投资企业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其他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非公有制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大型企业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小型企业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大中型企业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其中：国有控股企业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高技术产业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内资企业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港、澳、台商投资企业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外商投资企业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103.2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规模以上工业主要产品产量</w:t>
      </w:r>
    </w:p>
    <w:p>
      <w:pPr>
        <w:shd w:val="clear" w:color="auto" w:fill="auto"/>
        <w:jc w:val="center"/>
        <w:rPr>
          <w:rFonts w:hint="eastAsia"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"/>
        <w:gridCol w:w="2287"/>
        <w:gridCol w:w="1253"/>
        <w:gridCol w:w="1282"/>
        <w:gridCol w:w="11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528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互感器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4179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软饮料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1005968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氢氧化钠（烧碱）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401587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初级形态塑料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357974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水泥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1436421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耐火材料制品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146656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生铁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3696148.5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粗钢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3974673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钢材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3755928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铅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1117946 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黄金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14380.42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白银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3277156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tcBorders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锌</w:t>
            </w:r>
          </w:p>
        </w:tc>
        <w:tc>
          <w:tcPr>
            <w:tcW w:w="1253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349313 </w:t>
            </w:r>
          </w:p>
        </w:tc>
        <w:tc>
          <w:tcPr>
            <w:tcW w:w="1174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24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锻件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28828.48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-26.7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30家重点工业企业总产值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        </w:t>
      </w:r>
      <w:r>
        <w:rPr>
          <w:rFonts w:ascii="宋体" w:hAnsi="宋体"/>
          <w:color w:val="000000"/>
          <w:sz w:val="18"/>
          <w:szCs w:val="18"/>
        </w:rPr>
        <w:t>单位:万元、%</w:t>
      </w:r>
    </w:p>
    <w:tbl>
      <w:tblPr>
        <w:tblStyle w:val="3"/>
        <w:tblW w:w="62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958"/>
        <w:gridCol w:w="934"/>
        <w:gridCol w:w="714"/>
        <w:gridCol w:w="921"/>
        <w:gridCol w:w="71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企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业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本月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增长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1-本月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河南豫光金铅集团有限责任公司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290111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3382642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济源市万洋冶炼（集团）有限公司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184165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1830304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182275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1805192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河南济源钢铁（集团）有限公司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173417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1766870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富泰华精密电子（济源）有限公司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190873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891818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29794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-42.7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505130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华能沁北发电有限责任公司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39499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478088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河南恒通化工集团有限公司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341041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河南省济源煤业有限责任公司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214277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济源市万洋绿色能源有限公司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20485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190550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河南中沃饮料有限公司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-4.6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184009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济源市丰田肥业有限公司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10576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175462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15212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175233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21595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171643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河南中原特钢装备制造有限公司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8953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137066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济源中联水泥有限公司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4763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63947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国电豫源发电有限责任公司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8827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61207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济源市清源水处理有限公司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4590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56377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河南丰之源生物科技有限公司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37744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河南巨力钢丝绳制造有限公司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36647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济源市杭氧国泰气体有限公司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27564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河南省济源市济世药业有限公司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-51.5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25854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济源市石油机械有限公司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-31.8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18495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泰山石膏（济源）有限公司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16685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河南金江炼化有限责任公司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15328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河南龙兴钛业科技股份有限公司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-19.8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11370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河南万道捷建股份有限公司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10706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河南中原重型锻压有限公司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-34.0</w:t>
            </w:r>
          </w:p>
        </w:tc>
        <w:tc>
          <w:tcPr>
            <w:tcW w:w="9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8066</w:t>
            </w:r>
          </w:p>
        </w:tc>
        <w:tc>
          <w:tcPr>
            <w:tcW w:w="7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2958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河南力帆新能源电动车有限公司</w:t>
            </w: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</w:t>
            </w:r>
          </w:p>
        </w:tc>
        <w:tc>
          <w:tcPr>
            <w:tcW w:w="7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4" w:hRule="exact"/>
          <w:jc w:val="center"/>
        </w:trPr>
        <w:tc>
          <w:tcPr>
            <w:tcW w:w="295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河南省济源市矿用电器有限责任公司</w:t>
            </w:r>
          </w:p>
        </w:tc>
        <w:tc>
          <w:tcPr>
            <w:tcW w:w="9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139.42</w:t>
            </w:r>
          </w:p>
        </w:tc>
        <w:tc>
          <w:tcPr>
            <w:tcW w:w="9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713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规模以上工业主要效益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指标增速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（1-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月）</w:t>
      </w:r>
    </w:p>
    <w:tbl>
      <w:tblPr>
        <w:tblStyle w:val="3"/>
        <w:tblpPr w:leftFromText="180" w:rightFromText="180" w:vertAnchor="text" w:horzAnchor="page" w:tblpX="1210" w:tblpY="243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4"/>
        <w:gridCol w:w="3657"/>
        <w:gridCol w:w="200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exact"/>
        </w:trPr>
        <w:tc>
          <w:tcPr>
            <w:tcW w:w="391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长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企业单位个数（个）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其中：亏损企业个数（个）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流动资产合计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1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　其中：应收帐款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　　　　存货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　　　　　其中：产成品　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资产总计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负债合计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营业收入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营业成本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税金及附加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销售费用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管理费用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研发费用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财务费用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营业利润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利润总额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所得税费用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亏损企业亏损额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-49.6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税金总额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5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应交增值税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" w:hRule="atLeast"/>
        </w:trPr>
        <w:tc>
          <w:tcPr>
            <w:tcW w:w="2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从业人员平均人数（万人）</w:t>
            </w:r>
          </w:p>
        </w:tc>
        <w:tc>
          <w:tcPr>
            <w:tcW w:w="200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 </w:t>
            </w:r>
          </w:p>
        </w:tc>
      </w:tr>
    </w:tbl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  <w:t>注：</w:t>
      </w:r>
      <w:r>
        <w:rPr>
          <w:rFonts w:hint="eastAsia"/>
          <w:sz w:val="18"/>
          <w:szCs w:val="18"/>
        </w:rPr>
        <w:t>统计范围为年主营业务收</w:t>
      </w:r>
      <w:r>
        <w:rPr>
          <w:rFonts w:hint="eastAsia"/>
          <w:sz w:val="18"/>
          <w:szCs w:val="18"/>
          <w:lang w:val="en-US" w:eastAsia="zh-CN"/>
        </w:rPr>
        <w:t>入</w:t>
      </w:r>
      <w:r>
        <w:rPr>
          <w:rFonts w:hint="eastAsia"/>
          <w:sz w:val="18"/>
          <w:szCs w:val="18"/>
        </w:rPr>
        <w:t>2000万元及以上的全部工业企业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工业企业各种分组主要经济指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auto"/>
        </w:rPr>
        <w:t>标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auto"/>
        </w:rPr>
        <w:t>（1-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月）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单位：</w:t>
      </w:r>
      <w:r>
        <w:rPr>
          <w:rFonts w:hint="eastAsia" w:ascii="宋体" w:hAnsi="宋体"/>
          <w:color w:val="000000"/>
          <w:sz w:val="18"/>
          <w:szCs w:val="18"/>
        </w:rPr>
        <w:t>亿元、</w:t>
      </w:r>
      <w:r>
        <w:rPr>
          <w:rFonts w:ascii="宋体" w:hAnsi="宋体"/>
          <w:color w:val="000000"/>
          <w:sz w:val="18"/>
          <w:szCs w:val="18"/>
        </w:rPr>
        <w:t>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p>
      <w:pPr>
        <w:shd w:val="clear" w:color="auto" w:fill="auto"/>
        <w:spacing w:line="18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89"/>
        <w:gridCol w:w="1093"/>
        <w:gridCol w:w="1434"/>
        <w:gridCol w:w="158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989" w:type="dxa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标</w:t>
            </w:r>
          </w:p>
        </w:tc>
        <w:tc>
          <w:tcPr>
            <w:tcW w:w="1093" w:type="dxa"/>
            <w:vMerge w:val="restart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企业数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8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</w:pP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8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both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auto"/>
                <w:sz w:val="18"/>
              </w:rPr>
              <w:t>总</w:t>
            </w:r>
            <w:r>
              <w:rPr>
                <w:rFonts w:hint="eastAsia" w:ascii="宋体" w:hAnsi="宋体" w:eastAsia="宋体"/>
                <w:b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auto"/>
                <w:sz w:val="18"/>
              </w:rPr>
              <w:t>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236 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公有制</w:t>
            </w: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5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国有控股</w:t>
            </w: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5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集体控股</w:t>
            </w: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-16.5 </w:t>
            </w:r>
          </w:p>
        </w:tc>
        <w:tc>
          <w:tcPr>
            <w:tcW w:w="15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-91.0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非公有制</w:t>
            </w: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214 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私人控股</w:t>
            </w: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 </w:t>
            </w: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201 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5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外商控股</w:t>
            </w:r>
          </w:p>
        </w:tc>
        <w:tc>
          <w:tcPr>
            <w:tcW w:w="1093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43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584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轻工业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53 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-3.1 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重工业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183 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9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大中型企业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29 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989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rPr>
                <w:rFonts w:hint="eastAsia" w:ascii="宋体" w:hAnsi="宋体" w:eastAsia="宋体"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高技术企业</w:t>
            </w:r>
          </w:p>
        </w:tc>
        <w:tc>
          <w:tcPr>
            <w:tcW w:w="1093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-23.0 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-97.9 </w:t>
            </w:r>
          </w:p>
        </w:tc>
      </w:tr>
    </w:tbl>
    <w:p>
      <w:pPr>
        <w:shd w:val="clear" w:color="auto" w:fill="auto"/>
        <w:spacing w:line="18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64"/>
        <w:gridCol w:w="1724"/>
        <w:gridCol w:w="1110"/>
        <w:gridCol w:w="1466"/>
        <w:gridCol w:w="159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988" w:type="dxa"/>
            <w:gridSpan w:val="2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标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企业数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亏损企业亏损额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98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988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总 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</w:rPr>
              <w:t>236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-49.6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公有制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-71.0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国有控股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-76.6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集体控股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非公有制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214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-21.6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私人控股 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201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-2.2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外商控股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轻工业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53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-32.0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重工业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183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-54.5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64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大中型企业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14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-84.0 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6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高技术企业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-66.7 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 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FFFF0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分行业工业企业主要经济指标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auto"/>
        </w:rPr>
        <w:t>（1-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auto"/>
        </w:rPr>
        <w:t>月）</w:t>
      </w:r>
    </w:p>
    <w:p>
      <w:pPr>
        <w:shd w:val="clear" w:color="auto" w:fill="auto"/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  <w:szCs w:val="18"/>
        </w:rPr>
        <w:t>单位：</w:t>
      </w:r>
      <w:r>
        <w:rPr>
          <w:rFonts w:hint="eastAsia" w:ascii="宋体" w:hAnsi="宋体"/>
          <w:color w:val="000000"/>
          <w:sz w:val="18"/>
          <w:szCs w:val="18"/>
        </w:rPr>
        <w:t>亿元、</w:t>
      </w:r>
      <w:r>
        <w:rPr>
          <w:rFonts w:ascii="宋体" w:hAnsi="宋体"/>
          <w:color w:val="000000"/>
          <w:sz w:val="18"/>
          <w:szCs w:val="18"/>
        </w:rPr>
        <w:t>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518"/>
        <w:gridCol w:w="1121"/>
        <w:gridCol w:w="112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518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标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51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3518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工业行业合计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煤炭开采和洗选业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-21.9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黑色金属矿采选业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1050.0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有色金属矿采选业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-31.6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518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农副食品加工业</w:t>
            </w:r>
          </w:p>
        </w:tc>
        <w:tc>
          <w:tcPr>
            <w:tcW w:w="112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12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酒、饮料和精制茶制造业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纺织业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-18.9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  <w:t>皮革、毛皮、羽毛及其制品和制鞋业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-44.4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w w:val="90"/>
                <w:sz w:val="18"/>
                <w:szCs w:val="18"/>
              </w:rPr>
              <w:t>木材加工和木、竹、藤、棕、草制品业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造纸和纸制品业 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印刷和记录媒介复制业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石油、煤炭及其他燃料加工业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化学原料和化学制品制造业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医药制造业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-42.9</w:t>
            </w:r>
          </w:p>
        </w:tc>
      </w:tr>
    </w:tbl>
    <w:p>
      <w:pPr>
        <w:shd w:val="clear" w:color="auto" w:fill="auto"/>
        <w:autoSpaceDN w:val="0"/>
        <w:jc w:val="center"/>
        <w:textAlignment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分行业工业企业主要经济指标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增速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（续）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523"/>
        <w:gridCol w:w="1128"/>
        <w:gridCol w:w="112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exact"/>
          <w:jc w:val="center"/>
        </w:trPr>
        <w:tc>
          <w:tcPr>
            <w:tcW w:w="3523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标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exact"/>
          <w:jc w:val="center"/>
        </w:trPr>
        <w:tc>
          <w:tcPr>
            <w:tcW w:w="352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523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化学纤维制造业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橡胶和塑料制品业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黑色金属冶炼和压延加工业 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有色金属冶炼和压延加工业 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金属制品业 </w:t>
            </w:r>
          </w:p>
        </w:tc>
        <w:tc>
          <w:tcPr>
            <w:tcW w:w="112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2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专用设备制造业 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pacing w:val="-6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w w:val="80"/>
                <w:kern w:val="0"/>
                <w:sz w:val="18"/>
                <w:szCs w:val="18"/>
                <w:lang w:bidi="ar"/>
              </w:rPr>
              <w:t>铁路、船舶、航空航天和其他运输设备制造业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电气机械和器材制造业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-15.9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18"/>
                <w:szCs w:val="18"/>
                <w:lang w:bidi="ar"/>
              </w:rPr>
              <w:t>计算机、通信和其他电子设备制造业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-23.5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仪器仪表制造业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废弃资源综合利用业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电力、热力生产和供应业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燃气生产和供应业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水的生产和供应业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规模以上工业综合能源消费情况（1-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p>
      <w:pPr>
        <w:shd w:val="clear" w:color="auto" w:fill="auto"/>
        <w:jc w:val="center"/>
        <w:rPr>
          <w:rFonts w:hint="eastAsia" w:ascii="宋体" w:hAnsi="宋体" w:cs="黑体"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7"/>
        <w:gridCol w:w="1087"/>
        <w:gridCol w:w="1088"/>
        <w:gridCol w:w="855"/>
        <w:gridCol w:w="10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137" w:type="dxa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万元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工业</w:t>
            </w:r>
          </w:p>
          <w:p>
            <w:pPr>
              <w:shd w:val="clear" w:color="auto" w:fill="auto"/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增加值能</w:t>
            </w:r>
          </w:p>
          <w:p>
            <w:pPr>
              <w:shd w:val="clear" w:color="auto" w:fill="auto"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规模以上工业合计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-7.14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-14.49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#轻工业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-11.42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-5.16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重工业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646.28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-7.05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-15.88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#七大高耗能行业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638.36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-7.63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-16.02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煤炭开采和洗选业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-63.76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-67.58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石油加工、炼焦和核燃料加工业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21.44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-19.43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化学原料和化学制品制造业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26.94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-22.72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非金属矿物制品业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-8.16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8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黑色金属冶炼和压延加工业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212.75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-0.60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8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有色金属冶炼和压延加工业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-12.71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电力、热力生产和供应业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278.12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-13.08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-16.24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#高技术制造业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-13.43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#重点耗能企业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641.98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-7.21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主要能源品种消费量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原煤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790.06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-15.97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电力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万千瓦时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779012.00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热力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百万千焦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2612523.00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天然气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万立方米</w:t>
            </w:r>
          </w:p>
        </w:tc>
        <w:tc>
          <w:tcPr>
            <w:tcW w:w="108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18237.00 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93.78 </w:t>
            </w:r>
          </w:p>
        </w:tc>
        <w:tc>
          <w:tcPr>
            <w:tcW w:w="107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>
      <w:pPr>
        <w:shd w:val="clear" w:color="auto" w:fill="auto"/>
        <w:autoSpaceDN w:val="0"/>
        <w:ind w:right="120" w:rightChars="57"/>
        <w:textAlignment w:val="center"/>
        <w:rPr>
          <w:rFonts w:hint="eastAsia"/>
          <w:bCs/>
          <w:color w:val="000000"/>
          <w:sz w:val="18"/>
        </w:rPr>
      </w:pP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注:</w:t>
      </w:r>
      <w:r>
        <w:rPr>
          <w:rFonts w:hint="eastAsia" w:ascii="宋体" w:hAnsi="宋体" w:cs="宋体"/>
          <w:color w:val="000000"/>
          <w:sz w:val="18"/>
          <w:szCs w:val="18"/>
        </w:rPr>
        <w:t>重点耗能企业指年耗能5000吨以上的工业企业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固定资产投资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增长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情况</w:t>
      </w:r>
    </w:p>
    <w:p>
      <w:pPr>
        <w:shd w:val="clear" w:color="auto" w:fill="auto"/>
        <w:rPr>
          <w:color w:val="000000"/>
        </w:rPr>
      </w:pPr>
      <w:r>
        <w:rPr>
          <w:rFonts w:hint="eastAsia"/>
          <w:color w:val="000000"/>
        </w:rPr>
        <w:t xml:space="preserve">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63"/>
        <w:gridCol w:w="29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6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29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同比增长（%）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一、投资完成额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其中：工业投资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其中：房地产开发投资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其中：基础设施投资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其中：民间投资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1.按产业分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第一产业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第二产业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第三产业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2.按隶属关系分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中央项目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479.7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地方项目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3.按建设性质分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新  建 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扩  建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改建与技术改造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4.按构成分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建筑安装工程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设备工器具购置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其他费用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二、房屋面积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施工面积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#住宅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竣工面积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-39.4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6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#住宅</w:t>
            </w:r>
          </w:p>
        </w:tc>
        <w:tc>
          <w:tcPr>
            <w:tcW w:w="297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-13.6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各行业固定资产投资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增长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情况</w:t>
      </w:r>
    </w:p>
    <w:p>
      <w:pPr>
        <w:shd w:val="clear" w:color="auto" w:fill="auto"/>
        <w:wordWrap w:val="0"/>
        <w:ind w:right="72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406"/>
        <w:gridCol w:w="183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40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同比增长(%)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一、农、林、牧、渔业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畜牧业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二、工业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（一）采矿业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（二）制造业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（三）电力热力燃气及水的生产和供应业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三、建筑业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四、批发和零售业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-56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五、交通运输、仓储和邮政业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六、住宿和餐饮业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七、信息传输、软件和信息技术服务业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八、金融业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九、房地产业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十、租赁和商务服务业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十一、科学研究和技术服务业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-71.8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十二、水利、环境和公共设施管理业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十三、居民服务、修理和其他服务业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十四、教育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十五、卫生和社会工作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-80.7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十六、文化、体育和娱乐业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十七、公共管理、社会保障和社会组织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十八、国际组织</w:t>
            </w:r>
          </w:p>
        </w:tc>
        <w:tc>
          <w:tcPr>
            <w:tcW w:w="183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－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在建、新开工项目（不含房地产）情况</w:t>
      </w:r>
      <w:r>
        <w:rPr>
          <w:rFonts w:hint="eastAsia" w:ascii="宋体" w:hAnsi="宋体"/>
          <w:color w:val="000000"/>
          <w:sz w:val="18"/>
          <w:szCs w:val="18"/>
          <w:shd w:val="clear" w:color="auto" w:fill="auto"/>
        </w:rPr>
        <w:t xml:space="preserve">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                                </w:t>
      </w:r>
    </w:p>
    <w:p>
      <w:pPr>
        <w:shd w:val="clear" w:color="auto" w:fill="auto"/>
        <w:jc w:val="right"/>
        <w:outlineLvl w:val="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单位：个、%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800"/>
        <w:gridCol w:w="1695"/>
        <w:gridCol w:w="1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80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项目数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投资额增长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在建项目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计划总投资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312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312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252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94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145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新开工项目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-21.4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32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50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54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-18.2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房地产开发投资</w:t>
      </w:r>
    </w:p>
    <w:p>
      <w:pPr>
        <w:shd w:val="clear" w:color="auto" w:fill="auto"/>
        <w:wordWrap w:val="0"/>
        <w:ind w:right="72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43"/>
        <w:gridCol w:w="1061"/>
        <w:gridCol w:w="1437"/>
        <w:gridCol w:w="119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54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06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房地产开发投资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157630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#住宅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144600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#商品房销售额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488625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445006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本年购置土地面积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40005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施工面积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3133678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2465969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其中：新开工面积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690660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   #住宅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612289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#竣工面积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39769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11156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#商品房销售面积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857025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54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784259</w:t>
            </w:r>
          </w:p>
        </w:tc>
        <w:tc>
          <w:tcPr>
            <w:tcW w:w="11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社会消费品零售总额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单位：万元</w:t>
      </w:r>
      <w:r>
        <w:rPr>
          <w:rFonts w:hint="eastAsia" w:ascii="宋体" w:hAnsi="宋体"/>
          <w:color w:val="000000"/>
          <w:sz w:val="18"/>
        </w:rPr>
        <w:t xml:space="preserve">、%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57"/>
        <w:gridCol w:w="1597"/>
        <w:gridCol w:w="138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5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社会消费品零售总额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2016800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#批发零售贸易业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1603969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住宿和餐饮业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412831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#限上企业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224054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限下企业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1792746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商品零售额分类别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粮油、食品</w:t>
            </w:r>
            <w:r>
              <w:rPr>
                <w:rFonts w:ascii="宋体" w:hAnsi="宋体"/>
                <w:color w:val="000000"/>
                <w:sz w:val="18"/>
              </w:rPr>
              <w:t>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7452.1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</w:rPr>
              <w:t>饮料类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1464.4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  烟酒类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1073.0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服装、鞋帽、针纺织品类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6210.1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化妆品类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1066.3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金银珠宝类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210.1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日用品类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2140.0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体育娱乐用品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72.3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书报杂志类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3676.7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380.6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0"/>
                <w:szCs w:val="10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通讯器材类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833.8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中西药品类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6673.4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文化办公用品类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2386.2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家具类</w:t>
            </w:r>
          </w:p>
        </w:tc>
        <w:tc>
          <w:tcPr>
            <w:tcW w:w="159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40.1</w:t>
            </w:r>
          </w:p>
        </w:tc>
        <w:tc>
          <w:tcPr>
            <w:tcW w:w="1383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石油类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48012.3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汽车类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115284.9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-7.6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财政、金融</w:t>
      </w:r>
    </w:p>
    <w:p>
      <w:pPr>
        <w:shd w:val="clear" w:color="auto" w:fill="auto"/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单位：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元</w:t>
      </w:r>
      <w:r>
        <w:rPr>
          <w:rFonts w:hint="eastAsia" w:ascii="宋体" w:hAnsi="宋体"/>
          <w:color w:val="000000"/>
          <w:sz w:val="18"/>
        </w:rPr>
        <w:t xml:space="preserve">、%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"/>
        <w:gridCol w:w="2492"/>
        <w:gridCol w:w="1252"/>
        <w:gridCol w:w="1252"/>
        <w:gridCol w:w="102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0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指 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 xml:space="preserve"> 标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本月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地方财政总收入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85121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951076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地方财政收入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142466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756834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</w:t>
            </w:r>
            <w:r>
              <w:rPr>
                <w:rFonts w:hint="eastAsia" w:ascii="宋体" w:hAnsi="宋体"/>
                <w:color w:val="000000"/>
                <w:sz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</w:rPr>
              <w:t>公共预算收入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55420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570669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增值税(</w:t>
            </w:r>
            <w:r>
              <w:rPr>
                <w:rFonts w:hint="eastAsia" w:ascii="宋体" w:hAnsi="宋体"/>
                <w:color w:val="000000"/>
                <w:sz w:val="18"/>
              </w:rPr>
              <w:t>含改征</w:t>
            </w:r>
            <w:r>
              <w:rPr>
                <w:rFonts w:ascii="宋体" w:hAnsi="宋体"/>
                <w:color w:val="000000"/>
                <w:sz w:val="18"/>
              </w:rPr>
              <w:t>)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226898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企业所得税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80848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个人所得税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城市维护建设税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35349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政府性基金收入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57955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153074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地方财政支出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86857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913615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</w:t>
            </w:r>
            <w:r>
              <w:rPr>
                <w:rFonts w:hint="eastAsia" w:ascii="宋体" w:hAnsi="宋体"/>
                <w:color w:val="000000"/>
                <w:sz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</w:rPr>
              <w:t>公共预算支出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77651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775032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一般公共服务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154078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教育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144981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科学技术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-2186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社会保障与就业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88538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</w:rPr>
              <w:t>卫生健康支出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58662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</w:rPr>
              <w:t>节能环保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12708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26217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农林水</w:t>
            </w:r>
            <w:r>
              <w:rPr>
                <w:rFonts w:hint="eastAsia" w:ascii="宋体" w:hAnsi="宋体"/>
                <w:color w:val="000000"/>
                <w:sz w:val="18"/>
              </w:rPr>
              <w:t>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83438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政府性基金支出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金融机构存款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月末</w:t>
            </w:r>
            <w:r>
              <w:rPr>
                <w:rFonts w:ascii="宋体" w:hAnsi="宋体"/>
                <w:b/>
                <w:bCs/>
                <w:color w:val="000000"/>
                <w:sz w:val="18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5213037.8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住户存款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3351236.3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金融机构贷款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月末</w:t>
            </w:r>
            <w:r>
              <w:rPr>
                <w:rFonts w:ascii="宋体" w:hAnsi="宋体"/>
                <w:b/>
                <w:bCs/>
                <w:color w:val="000000"/>
                <w:sz w:val="18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3272666.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住户</w:t>
            </w:r>
            <w:r>
              <w:rPr>
                <w:rFonts w:ascii="宋体" w:hAnsi="宋体"/>
                <w:color w:val="000000"/>
                <w:sz w:val="18"/>
              </w:rPr>
              <w:t>贷款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1121343.3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w w:val="90"/>
                <w:sz w:val="18"/>
              </w:rPr>
              <w:t>非金融企业及机关团体贷款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2148013.3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物  价</w:t>
      </w:r>
    </w:p>
    <w:p>
      <w:pPr>
        <w:shd w:val="clear" w:color="auto" w:fill="auto"/>
        <w:jc w:val="center"/>
        <w:rPr>
          <w:rFonts w:hint="eastAsia"/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6"/>
        <w:gridCol w:w="2879"/>
        <w:gridCol w:w="1640"/>
        <w:gridCol w:w="15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指      标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环比 %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累计比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居民消费价格总指数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食品</w:t>
            </w:r>
            <w:r>
              <w:rPr>
                <w:rFonts w:hint="eastAsia" w:ascii="宋体" w:hAnsi="宋体"/>
                <w:color w:val="000000"/>
                <w:sz w:val="18"/>
              </w:rPr>
              <w:t>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衣着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居住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100.6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生活用品及服务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交通和通信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教育文化和娱乐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医疗保健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其他用品和服务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商品零售价格总指数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食品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饮料、烟酒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服装、鞋帽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纺织品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家用电器及音像器材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100.5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文化办公用品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体育娱乐用品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交通、通信用品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家具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化妆品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金银珠宝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中西药品及医疗保健用品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书报杂志及电子出版</w:t>
            </w:r>
            <w:r>
              <w:rPr>
                <w:rFonts w:hint="eastAsia" w:ascii="宋体" w:hAnsi="宋体"/>
                <w:color w:val="000000"/>
                <w:sz w:val="18"/>
              </w:rPr>
              <w:t>物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燃料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建筑材料及五金电料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农业生产资料价格指数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分镇、街道工业增加值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增速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单位:%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12"/>
        <w:gridCol w:w="2174"/>
        <w:gridCol w:w="18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exact"/>
          <w:jc w:val="center"/>
        </w:trPr>
        <w:tc>
          <w:tcPr>
            <w:tcW w:w="2212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当月增长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highlight w:val="none"/>
              </w:rPr>
              <w:t>累计增长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沁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园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济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北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海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天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坛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玉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泉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井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-18.0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五龙口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轵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城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承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留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邵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原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21.5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坡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梨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林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大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峪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思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礼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屋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21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冶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185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18.6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yellow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分镇、街道工业企业效益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（1-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月）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单位：个</w:t>
      </w:r>
      <w:r>
        <w:rPr>
          <w:rFonts w:hint="eastAsia" w:ascii="宋体" w:hAnsi="宋体"/>
          <w:color w:val="000000"/>
          <w:sz w:val="18"/>
        </w:rPr>
        <w:t>、亿元、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6"/>
        <w:gridCol w:w="778"/>
        <w:gridCol w:w="761"/>
        <w:gridCol w:w="911"/>
        <w:gridCol w:w="749"/>
        <w:gridCol w:w="1018"/>
        <w:gridCol w:w="72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296" w:type="dxa"/>
            <w:vMerge w:val="restart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镇、街道</w:t>
            </w:r>
          </w:p>
        </w:tc>
        <w:tc>
          <w:tcPr>
            <w:tcW w:w="778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企业数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营业收入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#亏损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企业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18"/>
              </w:rPr>
              <w:t xml:space="preserve">198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沁  园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13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  水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7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  海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10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  坛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15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玉  泉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10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克  井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26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五龙口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17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轵  城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21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承  留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24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邵  原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8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-12.7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坡  头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3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666.7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梨  林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7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  峪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4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-33.3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-83.6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  礼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19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王  屋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1 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960.4 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982.4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29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下  冶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</w:rPr>
              <w:t xml:space="preserve">6 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74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-19.6 </w:t>
            </w:r>
          </w:p>
        </w:tc>
        <w:tc>
          <w:tcPr>
            <w:tcW w:w="101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72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-4.6 </w:t>
            </w:r>
          </w:p>
        </w:tc>
      </w:tr>
    </w:tbl>
    <w:p>
      <w:pPr>
        <w:shd w:val="clear" w:color="auto" w:fill="auto"/>
        <w:autoSpaceDN w:val="0"/>
        <w:jc w:val="center"/>
        <w:textAlignment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分镇、街道综合能源消费量（1-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月）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0"/>
        <w:gridCol w:w="2157"/>
        <w:gridCol w:w="18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19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消费量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增加值能耗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沁  园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1592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-10.59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济  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-6.90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北  海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1872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-13.81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天  坛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37515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-12.48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玉  泉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7033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-11.25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克  井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136510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-13.67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五龙口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26442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-10.20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轵  城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68426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-15.02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承  留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175199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-11.26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邵  原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1312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-15.08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坡  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1220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-9.76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梨  林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3560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-14.30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大  峪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673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-9.39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思  礼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159309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-13.10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王  屋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-10.74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center" w:pos="1126"/>
                <w:tab w:val="right" w:pos="2132"/>
              </w:tabs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ab/>
            </w:r>
            <w:r>
              <w:rPr>
                <w:rFonts w:ascii="宋体" w:hAnsi="宋体"/>
                <w:color w:val="000000"/>
                <w:sz w:val="18"/>
              </w:rPr>
              <w:t>下  冶</w:t>
            </w:r>
          </w:p>
        </w:tc>
        <w:tc>
          <w:tcPr>
            <w:tcW w:w="215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1767</w:t>
            </w:r>
          </w:p>
        </w:tc>
        <w:tc>
          <w:tcPr>
            <w:tcW w:w="187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-15.27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分镇、街道固定资产投资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增速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18"/>
        </w:rPr>
        <w:t xml:space="preserve">单位:%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95"/>
        <w:gridCol w:w="2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镇、街道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1-本月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3495" w:type="dxa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全区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沁  园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济  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北  海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  坛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  泉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克  井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五龙口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轵  城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承  留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邵  原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坡  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梨  林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  峪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思  礼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王  屋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下  冶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29.9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分镇、街道财政预算收支</w:t>
      </w:r>
    </w:p>
    <w:tbl>
      <w:tblPr>
        <w:tblStyle w:val="3"/>
        <w:tblpPr w:leftFromText="180" w:rightFromText="180" w:vertAnchor="text" w:horzAnchor="page" w:tblpX="1092" w:tblpY="411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2"/>
        <w:gridCol w:w="1167"/>
        <w:gridCol w:w="916"/>
        <w:gridCol w:w="1031"/>
        <w:gridCol w:w="9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08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预算收入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预算支出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增长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</w:rPr>
              <w:t>合  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570669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775032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市  级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341162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591307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镇(街道)小计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229507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183725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济  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天  坛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7436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沁  园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北  海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62471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53150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玉  泉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14555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-18.0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8126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克  井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4337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五龙口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6706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轵  城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7723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承  留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23555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思  礼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梨  林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坡  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5212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大  峪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王  屋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下  冶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邵  原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虎岭（高新）开发区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</w:trPr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玉川产业集聚区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5564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-57.0</w:t>
            </w:r>
          </w:p>
        </w:tc>
      </w:tr>
    </w:tbl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18"/>
        </w:rPr>
        <w:t xml:space="preserve">单位:万元、% </w:t>
      </w:r>
    </w:p>
    <w:p>
      <w:pPr>
        <w:shd w:val="clear" w:color="auto" w:fill="auto"/>
        <w:autoSpaceDN w:val="0"/>
        <w:ind w:right="258" w:rightChars="123"/>
        <w:jc w:val="right"/>
        <w:textAlignment w:val="bottom"/>
        <w:rPr>
          <w:rFonts w:hint="eastAsia" w:ascii="黑体" w:hAnsi="黑体" w:eastAsia="黑体" w:cs="黑体"/>
          <w:color w:val="000000"/>
          <w:sz w:val="32"/>
          <w:szCs w:val="32"/>
        </w:rPr>
        <w:sectPr>
          <w:pgSz w:w="8392" w:h="11907"/>
          <w:pgMar w:top="1134" w:right="1134" w:bottom="1134" w:left="1134" w:header="567" w:footer="851" w:gutter="0"/>
          <w:cols w:space="720" w:num="1"/>
          <w:docGrid w:type="lines" w:linePitch="310" w:charSpace="0"/>
        </w:sect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产业集聚区主要指标完成情况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单位：亿元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3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5"/>
        <w:gridCol w:w="1066"/>
        <w:gridCol w:w="1134"/>
        <w:gridCol w:w="1197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92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虎岭（高新）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玉川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营业收入</w:t>
            </w:r>
          </w:p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（1-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月）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  <w:t>5.3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highlight w:val="none"/>
                <w:lang w:val="en-US" w:eastAsia="zh-CN"/>
              </w:rPr>
              <w:t>4.1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color w:val="000000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利润总额</w:t>
            </w:r>
          </w:p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（1-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月）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highlight w:val="none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color w:val="000000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-</w:t>
            </w: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19.2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color w:val="000000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-</w:t>
            </w: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29.1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总产值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1067.4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586.3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481.1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6.4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4.2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增加值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201.3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114.7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86.6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4.6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color w:val="000000"/>
                <w:sz w:val="1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0.5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固定资产投资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17.8</w:t>
            </w:r>
          </w:p>
        </w:tc>
        <w:tc>
          <w:tcPr>
            <w:tcW w:w="985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施工项目（个）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130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51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分省辖市地区生产总值</w:t>
      </w:r>
    </w:p>
    <w:p>
      <w:pPr>
        <w:shd w:val="clear" w:color="auto" w:fill="auto"/>
        <w:wordWrap w:val="0"/>
        <w:jc w:val="right"/>
        <w:rPr>
          <w:rFonts w:hint="eastAsia"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39"/>
        <w:gridCol w:w="960"/>
        <w:gridCol w:w="738"/>
        <w:gridCol w:w="723"/>
        <w:gridCol w:w="890"/>
        <w:gridCol w:w="826"/>
        <w:gridCol w:w="7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exac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区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生产总值</w:t>
            </w: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）</w:t>
            </w:r>
          </w:p>
        </w:tc>
        <w:tc>
          <w:tcPr>
            <w:tcW w:w="2477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三次产业增速</w:t>
            </w: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exact"/>
          <w:jc w:val="center"/>
        </w:trPr>
        <w:tc>
          <w:tcPr>
            <w:tcW w:w="1339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绝对值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二产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39055.64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7.4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000000"/>
                <w:sz w:val="18"/>
                <w:szCs w:val="18"/>
                <w:u w:val="none"/>
              </w:rPr>
              <w:t>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2.2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8.1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8050.73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7.2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-4.5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8.1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1643.89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3.8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9.1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3709.4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8.3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3.9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7.8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1727.91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7.2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1.9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8.6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6.9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1816.58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3.1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-2.2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1.9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707.39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2.8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8.5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2051.67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3.3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9.0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1910.59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4.4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8.4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1330.23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3.8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8.1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2241.14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1.6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8.2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1018.64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2.5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8.3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6.9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1264.08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3.8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8.0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3002.23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3.0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8.5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1961.19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2.4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9.1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1962.01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2.4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8.5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2219.86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2.5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8.7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1987.86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1.7 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9.7 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000000"/>
                <w:sz w:val="18"/>
              </w:rPr>
            </w:pPr>
            <w:r>
              <w:rPr>
                <w:rFonts w:ascii="宋体" w:hAnsi="宋体"/>
                <w:b/>
                <w:bCs w:val="0"/>
                <w:color w:val="000000"/>
                <w:sz w:val="18"/>
              </w:rPr>
              <w:t>济  源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>487.41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>8.2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89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3.9 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8.8 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snapToGrid/>
                <w:color w:val="000000"/>
                <w:sz w:val="18"/>
                <w:szCs w:val="18"/>
                <w:u w:val="none"/>
              </w:rPr>
              <w:t xml:space="preserve">7.5 </w:t>
            </w:r>
          </w:p>
        </w:tc>
      </w:tr>
    </w:tbl>
    <w:p>
      <w:pPr>
        <w:shd w:val="clear" w:color="auto" w:fill="auto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>注：省辖市数据含直管县。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分省辖市工业增加值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98"/>
        <w:gridCol w:w="1112"/>
        <w:gridCol w:w="1112"/>
        <w:gridCol w:w="1109"/>
        <w:gridCol w:w="11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区</w:t>
            </w:r>
          </w:p>
        </w:tc>
        <w:tc>
          <w:tcPr>
            <w:tcW w:w="443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工业增加值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当月</w:t>
            </w: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累计增长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-0.2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0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color="auto" w:fill="auto"/>
        <w:outlineLvl w:val="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注：省辖市数据（包含直管县）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分省辖市社会消费品零售总额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6"/>
        <w:gridCol w:w="877"/>
        <w:gridCol w:w="878"/>
        <w:gridCol w:w="701"/>
        <w:gridCol w:w="874"/>
        <w:gridCol w:w="875"/>
        <w:gridCol w:w="7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区</w:t>
            </w:r>
          </w:p>
        </w:tc>
        <w:tc>
          <w:tcPr>
            <w:tcW w:w="4911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 xml:space="preserve">   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本月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2164.3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11.3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22733.0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395.9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11.1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4671.5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9.5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91.0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1087.6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228.2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2387.7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89.4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978.3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88.0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954.3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8.7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29.0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271.0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10.4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99.1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1129.3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78.1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873.6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65.6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11.4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677.4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9.9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77.1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11.8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964.1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10.3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51.4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642.8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49.4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11.8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591.5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212.7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2204.0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10.2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130.6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1247.3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11.2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126.4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11.3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1254.6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10.4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141.2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12.0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1472.3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11.3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91.8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11.9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1124.1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11.2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87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19.3</w:t>
            </w:r>
          </w:p>
        </w:tc>
        <w:tc>
          <w:tcPr>
            <w:tcW w:w="878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11.6</w:t>
            </w:r>
          </w:p>
        </w:tc>
        <w:tc>
          <w:tcPr>
            <w:tcW w:w="701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201.7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11.0</w:t>
            </w:r>
          </w:p>
        </w:tc>
        <w:tc>
          <w:tcPr>
            <w:tcW w:w="706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注：省辖市数据（包含直管县）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分省辖市综合能源消费量（1-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月）</w:t>
      </w:r>
    </w:p>
    <w:p>
      <w:pPr>
        <w:shd w:val="clear" w:color="auto" w:fill="auto"/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0"/>
        <w:gridCol w:w="1213"/>
        <w:gridCol w:w="920"/>
        <w:gridCol w:w="1338"/>
        <w:gridCol w:w="10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75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区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消费量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增加值能耗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1801.37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-15.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1249.53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-11.6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-16.32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287.28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-28.0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-33.74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1218.70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-12.5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-19.38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959.41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-10.2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-17.20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1420.93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-4.1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-4.70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336.51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-5.5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-11.69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821.27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-18.30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931.89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-9.9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-16.99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525.90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-5.0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-11.59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367.22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-5.0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-12.24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201.82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-4.3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-10.12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634.45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-20.7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-26.14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611.98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-7.17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641.46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-5.88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396.23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-6.18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149.31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9.3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388.03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-8.4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-15.74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59.46</w:t>
            </w:r>
          </w:p>
        </w:tc>
        <w:tc>
          <w:tcPr>
            <w:tcW w:w="92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4.49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yellow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分省辖市全社会用电量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亿千瓦时、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6237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68"/>
        <w:gridCol w:w="655"/>
        <w:gridCol w:w="567"/>
        <w:gridCol w:w="672"/>
        <w:gridCol w:w="597"/>
        <w:gridCol w:w="687"/>
        <w:gridCol w:w="627"/>
        <w:gridCol w:w="684"/>
        <w:gridCol w:w="5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</w:trPr>
        <w:tc>
          <w:tcPr>
            <w:tcW w:w="116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地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lang w:eastAsia="zh-CN"/>
              </w:rPr>
              <w:t>区</w:t>
            </w:r>
          </w:p>
        </w:tc>
        <w:tc>
          <w:tcPr>
            <w:tcW w:w="2491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全社会用电量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其中：工业用电量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</w:trPr>
        <w:tc>
          <w:tcPr>
            <w:tcW w:w="116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本月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本月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292.2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3364.2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564.6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119.8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442.2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339.7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202.2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210.5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138.9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261.0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165.8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243.6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189.4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145.1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-28.5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243.0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126.6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-16.8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177.7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-37.4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136.2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125.4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1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6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672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151.1</w:t>
            </w:r>
          </w:p>
        </w:tc>
        <w:tc>
          <w:tcPr>
            <w:tcW w:w="597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8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684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580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</w:trPr>
        <w:tc>
          <w:tcPr>
            <w:tcW w:w="1168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65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597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687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627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 xml:space="preserve">    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 xml:space="preserve"> 分省辖市固定资产投资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9"/>
        <w:gridCol w:w="1300"/>
        <w:gridCol w:w="1095"/>
        <w:gridCol w:w="1213"/>
        <w:gridCol w:w="9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固定资产投资</w:t>
            </w:r>
          </w:p>
        </w:tc>
        <w:tc>
          <w:tcPr>
            <w:tcW w:w="21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hd w:val="clear" w:color="auto" w:fill="auto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全  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郑  州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开  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洛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平顶山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-10.6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安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-11.5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鹤  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新  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焦  作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濮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许  昌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漯  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三门峡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南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商  丘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信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周  口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驻马店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73" w:hRule="atLeast"/>
          <w:jc w:val="center"/>
        </w:trPr>
        <w:tc>
          <w:tcPr>
            <w:tcW w:w="166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济  源</w:t>
            </w:r>
          </w:p>
        </w:tc>
        <w:tc>
          <w:tcPr>
            <w:tcW w:w="130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</w:tbl>
    <w:p>
      <w:pPr>
        <w:shd w:val="clear" w:color="auto" w:fill="auto"/>
        <w:autoSpaceDN w:val="0"/>
        <w:ind w:right="258" w:rightChars="123"/>
        <w:jc w:val="center"/>
        <w:textAlignment w:val="bottom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分省辖市居民人均可支配收入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15"/>
        <w:gridCol w:w="765"/>
        <w:gridCol w:w="72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城镇居民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农村居民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2019年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lang w:val="en-US" w:eastAsia="zh-CN"/>
              </w:rPr>
              <w:t>2019年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  <w:t>34201.0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18"/>
              </w:rPr>
              <w:t>7.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18"/>
                <w:lang w:val="en-US" w:eastAsia="zh-CN"/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18"/>
              </w:rPr>
              <w:t>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15164.0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42087.4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23535.5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31304.8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14472.8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38630.0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14973.4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34265.6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14587.4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34959.1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16094.7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32835.6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18275.3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33626.4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16343.7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33956.1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19374.2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33277.4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13894.2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34376.1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18557.5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33505.3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16877.9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32178.0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15644.9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33441.9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15165.5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32335.4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12667.7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30425.2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14009.7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28437.0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12193.9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30409.2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13020.2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36038.5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20235.4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分省辖市建筑业总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产值、商品房销售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</w:t>
      </w:r>
      <w:r>
        <w:rPr>
          <w:rFonts w:hint="eastAsia" w:ascii="宋体" w:hAnsi="宋体"/>
          <w:color w:val="000000"/>
          <w:sz w:val="18"/>
        </w:rPr>
        <w:t>万平方米、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22"/>
        <w:gridCol w:w="778"/>
        <w:gridCol w:w="70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建筑业总产值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hd w:val="clear" w:color="auto" w:fill="auto"/>
              </w:rPr>
              <w:t>商品房销售面积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1-本季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12701.0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14277.55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4729.5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3593.27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-3.2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542.88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1123.3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934.77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531.01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483.30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238.49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809.1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752.67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106.9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239.13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298.5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449.97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638.29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334.28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285.47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698.24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1276.11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935.02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624.8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823.23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853.3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1435.72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000000"/>
                <w:sz w:val="18"/>
              </w:rPr>
            </w:pPr>
            <w:r>
              <w:rPr>
                <w:rFonts w:ascii="宋体" w:hAnsi="宋体"/>
                <w:b/>
                <w:bCs w:val="0"/>
                <w:color w:val="000000"/>
                <w:sz w:val="18"/>
              </w:rPr>
              <w:t>济  源</w:t>
            </w:r>
          </w:p>
        </w:tc>
        <w:tc>
          <w:tcPr>
            <w:tcW w:w="92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70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85.70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color="auto" w:fill="auto"/>
        <w:spacing w:line="20" w:lineRule="exact"/>
        <w:rPr>
          <w:rFonts w:hint="eastAsia" w:ascii="仿宋" w:hAnsi="仿宋" w:eastAsia="仿宋" w:cs="仿宋"/>
          <w:color w:val="000000"/>
        </w:r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分省辖市进出口总值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亿</w:t>
      </w:r>
      <w:r>
        <w:rPr>
          <w:rFonts w:ascii="宋体" w:hAnsi="宋体"/>
          <w:color w:val="000000"/>
          <w:sz w:val="18"/>
        </w:rPr>
        <w:t>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68"/>
        <w:gridCol w:w="924"/>
        <w:gridCol w:w="805"/>
        <w:gridCol w:w="605"/>
        <w:gridCol w:w="935"/>
        <w:gridCol w:w="805"/>
        <w:gridCol w:w="5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restart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334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进出口总值</w:t>
            </w: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#出口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bookmarkStart w:id="0" w:name="OLE_LINK1" w:colFirst="1" w:colLast="1"/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5711.6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3754.6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2677.2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-7.2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153.5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2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146.8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</w:t>
            </w:r>
          </w:p>
        </w:tc>
        <w:tc>
          <w:tcPr>
            <w:tcW w:w="595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bookmarkEnd w:id="0"/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  <w:shd w:val="clear" w:color="auto" w:fill="auto"/>
        </w:rPr>
        <w:t>分省辖市其他营利性服务业营业收入（1-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  <w:shd w:val="clear" w:color="auto" w:fill="auto"/>
        </w:rPr>
        <w:t>月）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个、亿元、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8"/>
        <w:gridCol w:w="1201"/>
        <w:gridCol w:w="1084"/>
        <w:gridCol w:w="1166"/>
        <w:gridCol w:w="111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11" w:hRule="exact"/>
          <w:jc w:val="center"/>
        </w:trPr>
        <w:tc>
          <w:tcPr>
            <w:tcW w:w="166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单位数</w:t>
            </w:r>
          </w:p>
        </w:tc>
        <w:tc>
          <w:tcPr>
            <w:tcW w:w="33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营业收入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5" w:hRule="exact"/>
          <w:jc w:val="center"/>
        </w:trPr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18"/>
              </w:rPr>
              <w:t>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668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1212.41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595.10</w:t>
            </w:r>
          </w:p>
        </w:tc>
        <w:tc>
          <w:tcPr>
            <w:tcW w:w="116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11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34.43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15.44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16.51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12.83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29.20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99.53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10.65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29.24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55.36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35.49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81.59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38.35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6" w:hRule="atLeast"/>
          <w:jc w:val="center"/>
        </w:trPr>
        <w:tc>
          <w:tcPr>
            <w:tcW w:w="1668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20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</w:t>
            </w:r>
          </w:p>
        </w:tc>
        <w:tc>
          <w:tcPr>
            <w:tcW w:w="116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分直管县地区生产总值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5"/>
        <w:gridCol w:w="951"/>
        <w:gridCol w:w="804"/>
        <w:gridCol w:w="641"/>
        <w:gridCol w:w="881"/>
        <w:gridCol w:w="817"/>
        <w:gridCol w:w="81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市、县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生产总值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三次产业增速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绝对值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二产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39055.64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000000"/>
                <w:sz w:val="18"/>
                <w:szCs w:val="18"/>
                <w:u w:val="none"/>
              </w:rPr>
              <w:t>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2.2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8.1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655.01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6.9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-2.4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8.4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249.48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4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2.2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368.84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5.6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7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208.77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4.8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11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7.8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306.42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8.5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2.8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11.1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329.99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6.1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9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0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8.1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459.08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8.8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3.6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9.4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272.47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4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9.7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274.34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7.7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7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2.9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9.4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169.32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8.6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2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3.5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18"/>
                <w:u w:val="none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487.41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8.2</w:t>
            </w:r>
          </w:p>
        </w:tc>
        <w:tc>
          <w:tcPr>
            <w:tcW w:w="64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6</w:t>
            </w:r>
          </w:p>
        </w:tc>
        <w:tc>
          <w:tcPr>
            <w:tcW w:w="88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3.9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8.8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宋体"/>
                <w:b/>
                <w:bCs/>
                <w:i w:val="0"/>
                <w:snapToGrid/>
                <w:color w:val="000000"/>
                <w:sz w:val="18"/>
                <w:u w:val="none"/>
              </w:rPr>
              <w:t>7.5</w:t>
            </w:r>
          </w:p>
        </w:tc>
      </w:tr>
    </w:tbl>
    <w:p>
      <w:pPr>
        <w:shd w:val="clear" w:color="auto" w:fill="auto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>注：省辖市数据含直管县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分直管县工业增加值、消费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3"/>
        <w:gridCol w:w="951"/>
        <w:gridCol w:w="952"/>
        <w:gridCol w:w="1107"/>
        <w:gridCol w:w="1018"/>
        <w:gridCol w:w="76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restart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90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hd w:val="clear" w:color="auto" w:fill="auto"/>
              </w:rPr>
              <w:t>工业增加值</w:t>
            </w:r>
          </w:p>
        </w:tc>
        <w:tc>
          <w:tcPr>
            <w:tcW w:w="289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hd w:val="clear" w:color="auto" w:fill="auto"/>
              </w:rPr>
              <w:t>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</w:t>
            </w: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22733.0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375.2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132.9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226.5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232.1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173.6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952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</w:t>
            </w:r>
          </w:p>
        </w:tc>
        <w:tc>
          <w:tcPr>
            <w:tcW w:w="1018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766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济  源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201.7</w:t>
            </w:r>
          </w:p>
        </w:tc>
        <w:tc>
          <w:tcPr>
            <w:tcW w:w="1018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分直管县综合能源消费量（1-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月）</w:t>
      </w:r>
    </w:p>
    <w:p>
      <w:pPr>
        <w:shd w:val="clear" w:color="auto" w:fill="auto"/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7"/>
        <w:gridCol w:w="1095"/>
        <w:gridCol w:w="1095"/>
        <w:gridCol w:w="1095"/>
        <w:gridCol w:w="10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8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消费量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增加值能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耗降低率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降低率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000000"/>
                <w:sz w:val="18"/>
              </w:rPr>
            </w:pPr>
            <w:r>
              <w:rPr>
                <w:rFonts w:ascii="宋体" w:hAnsi="宋体"/>
                <w:b/>
                <w:bCs w:val="0"/>
                <w:color w:val="000000"/>
                <w:sz w:val="18"/>
              </w:rPr>
              <w:t>全  省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1801.37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巩  义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兰  考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-3.0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汝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201.12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滑  县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5.94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长  垣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85.49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邓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2.44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永  城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固  始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.31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鹿  邑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9.18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蔡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4.57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-3.72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59.46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分直管县固定资产投资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75"/>
        <w:gridCol w:w="1115"/>
        <w:gridCol w:w="1116"/>
        <w:gridCol w:w="1115"/>
        <w:gridCol w:w="11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hd w:val="clear" w:color="auto" w:fill="auto"/>
              </w:rPr>
              <w:t>固定资产投资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巩  义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-3.6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兰  考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汝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滑  县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长  垣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-10.7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邓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永  城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-20.7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固  始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鹿  邑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蔡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</w:rPr>
        <w:t>分直管县其他营利性服务业营业收入（1-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  <w:highlight w:val="none"/>
        </w:rPr>
        <w:t>月）</w:t>
      </w:r>
    </w:p>
    <w:p>
      <w:pPr>
        <w:shd w:val="clear" w:color="auto" w:fill="auto"/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个、亿元、%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7"/>
        <w:gridCol w:w="1095"/>
        <w:gridCol w:w="1095"/>
        <w:gridCol w:w="1095"/>
        <w:gridCol w:w="10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exact"/>
          <w:jc w:val="center"/>
        </w:trPr>
        <w:tc>
          <w:tcPr>
            <w:tcW w:w="1857" w:type="dxa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单位数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营业收入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" w:hRule="exact"/>
          <w:jc w:val="center"/>
        </w:trPr>
        <w:tc>
          <w:tcPr>
            <w:tcW w:w="18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18"/>
              </w:rPr>
              <w:t>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全  省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1212.41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巩  义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兰  考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12.34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汝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9.88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滑  县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长  垣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邓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永  城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固  始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鹿  邑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蔡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全省主要经济指标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3"/>
        <w:tblW w:w="628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2938"/>
        <w:gridCol w:w="721"/>
        <w:gridCol w:w="1152"/>
        <w:gridCol w:w="129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3108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54259.20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4635.40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23605.79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26018.01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22733.02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4041.6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10176.3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进出口总额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5711.63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3754.64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23903.0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34201.0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民人均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前三季度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15164.0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511"/>
              </w:tabs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70" w:type="dxa"/>
            <w:tcBorders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规模以上工业营业收入</w:t>
            </w:r>
          </w:p>
        </w:tc>
        <w:tc>
          <w:tcPr>
            <w:tcW w:w="72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利润总额</w:t>
            </w:r>
          </w:p>
        </w:tc>
        <w:tc>
          <w:tcPr>
            <w:tcW w:w="7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70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万元增加值能耗降低率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shd w:val="clear" w:color="auto" w:fill="auto"/>
                <w:lang w:bidi="ar"/>
              </w:rPr>
              <w:t>-1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5.37</w:t>
            </w:r>
          </w:p>
        </w:tc>
      </w:tr>
    </w:tbl>
    <w:p>
      <w:pPr>
        <w:shd w:val="clear" w:color="auto" w:fill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全国主要经济指标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"/>
        <w:gridCol w:w="3007"/>
        <w:gridCol w:w="836"/>
        <w:gridCol w:w="1197"/>
        <w:gridCol w:w="101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3" w:hRule="exact"/>
          <w:jc w:val="center"/>
        </w:trPr>
        <w:tc>
          <w:tcPr>
            <w:tcW w:w="317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83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990865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  <w:t>70467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  <w:t>386165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  <w:t>534233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规模以上工业产销率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制造业采购经理指数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50.2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  <w:t>551478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411649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</w:rPr>
              <w:t>8.</w:t>
            </w: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190382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3.</w:t>
            </w: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238874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18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进出口总额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315446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18"/>
                <w:lang w:val="en-US" w:eastAsia="zh-CN"/>
              </w:rPr>
              <w:t>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172298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18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30733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42359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民人均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可支配收入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>16021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102.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6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规模以上工业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营业</w:t>
            </w:r>
            <w:r>
              <w:rPr>
                <w:bCs/>
                <w:color w:val="000000"/>
                <w:sz w:val="18"/>
                <w:szCs w:val="18"/>
              </w:rPr>
              <w:t>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1057824.9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利润总额</w:t>
            </w:r>
          </w:p>
        </w:tc>
        <w:tc>
          <w:tcPr>
            <w:tcW w:w="836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61955.5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3.3</w:t>
            </w:r>
          </w:p>
        </w:tc>
      </w:tr>
    </w:tbl>
    <w:p>
      <w:pPr>
        <w:shd w:val="clear" w:color="auto" w:fill="auto"/>
        <w:spacing w:line="20" w:lineRule="exact"/>
        <w:rPr>
          <w:rFonts w:hint="eastAsia" w:ascii="仿宋" w:hAnsi="仿宋" w:eastAsia="仿宋" w:cs="仿宋"/>
          <w:color w:val="000000"/>
        </w:rPr>
      </w:pPr>
    </w:p>
    <w:p>
      <w:bookmarkStart w:id="1" w:name="_GoBack"/>
      <w:bookmarkEnd w:id="1"/>
    </w:p>
    <w:sectPr>
      <w:pgSz w:w="8392" w:h="11907"/>
      <w:pgMar w:top="1134" w:right="1134" w:bottom="1134" w:left="1134" w:header="567" w:footer="851" w:gutter="0"/>
      <w:cols w:space="720" w:num="1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76885" cy="14795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1.65pt;width:37.55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U2XY0gAAAAMBAAAP&#10;AAAAAAAAAAEAIAAAACIAAABkcnMvZG93bnJldi54bWxQSwECFAAUAAAACACHTuJAEyys9qwBAAA9&#10;AwAADgAAAAAAAAABACAAAAAhAQAAZHJzL2Uyb0RvYy54bWxQSwUGAAAAAAYABgBZAQAAP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/>
                      </w:rPr>
                    </w:pPr>
                    <w:r>
                      <w:rPr>
                        <w:rStyle w:val="5"/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5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36164;&#26009;\&#26376;&#25253;\&#26376;&#25253;&#36235;&#21183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36164;&#26009;\&#26376;&#25253;\&#26376;&#25253;&#36235;&#21183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36164;&#26009;\&#26376;&#25253;\&#26376;&#25253;&#36235;&#21183;&#2227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36164;&#26009;\&#26376;&#25253;\&#26376;&#25253;&#36235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sz="1200">
                <a:solidFill>
                  <a:srgbClr val="000000"/>
                </a:solidFill>
                <a:uFillTx/>
              </a:rPr>
              <a:t>规模以上工业增加值分月累计增速 %</a:t>
            </a:r>
            <a:endParaRPr sz="1200" b="1" i="0" u="none" strike="noStrike" baseline="0">
              <a:solidFill>
                <a:srgbClr val="000000"/>
              </a:solidFill>
              <a:uFillTx/>
              <a:latin typeface="Times New Roman" panose="02020603050405020304" charset="-122"/>
              <a:ea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95633187772926"/>
          <c:y val="0.10835913312693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66569468267582"/>
          <c:y val="0.304605061737571"/>
          <c:w val="0.8825"/>
          <c:h val="0.509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[月报趋势图.xls]工业增加值!$A$6</c:f>
              <c:strCache>
                <c:ptCount val="1"/>
                <c:pt idx="0">
                  <c:v>2018年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4"/>
            <c:marker>
              <c:symbol val="diamond"/>
              <c:size val="5"/>
              <c:spPr>
                <a:solidFill>
                  <a:srgbClr val="000080">
                    <a:alpha val="100000"/>
                  </a:srgbClr>
                </a:solidFill>
                <a:ln w="6350" cap="flat" cmpd="sng" algn="ctr">
                  <a:solidFill>
                    <a:srgbClr val="00008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0.00128589798542649"/>
                  <c:y val="-0.009961848240779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28589798542649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0233149639677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17873981997428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46463780540077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375053579082726"/>
                  <c:y val="-0.01695633743111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492927561080154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75053579082726"/>
                  <c:y val="-0.01483679525222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375053579082726"/>
                  <c:y val="-0.01462484103433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000" b="0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8.5</a:t>
                    </a:r>
                    <a:endParaRPr sz="1000" b="0" i="0" u="none" strike="noStrike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[月报趋势图.xls]工业增加值!$B$6:$L$6</c:f>
              <c:numCache>
                <c:formatCode>General</c:formatCode>
                <c:ptCount val="11"/>
                <c:pt idx="0">
                  <c:v>7.9</c:v>
                </c:pt>
                <c:pt idx="1">
                  <c:v>8.1</c:v>
                </c:pt>
                <c:pt idx="2">
                  <c:v>8.1</c:v>
                </c:pt>
                <c:pt idx="3">
                  <c:v>8.1</c:v>
                </c:pt>
                <c:pt idx="4" c:formatCode="0.0_ ">
                  <c:v>8.1</c:v>
                </c:pt>
                <c:pt idx="5" c:formatCode="0.0_ ">
                  <c:v>8</c:v>
                </c:pt>
                <c:pt idx="6" c:formatCode="0.0_ ">
                  <c:v>8.1</c:v>
                </c:pt>
                <c:pt idx="7" c:formatCode="0.0_ ">
                  <c:v>7.8</c:v>
                </c:pt>
                <c:pt idx="8" c:formatCode="0.0_ ">
                  <c:v>7.9</c:v>
                </c:pt>
                <c:pt idx="9" c:formatCode="0.0_ ">
                  <c:v>8.2</c:v>
                </c:pt>
                <c:pt idx="10">
                  <c:v>8.5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[月报趋势图.xls]工业增加值!$A$7</c:f>
              <c:strCache>
                <c:ptCount val="1"/>
                <c:pt idx="0">
                  <c:v>2019年</c:v>
                </c:pt>
              </c:strCache>
            </c:strRef>
          </c:tx>
          <c:spPr>
            <a:ln w="25400" cap="rnd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  <c:marker>
            <c:symbol val="square"/>
            <c:size val="5"/>
            <c:spPr>
              <a:solidFill>
                <a:srgbClr val="FF00FF">
                  <a:alpha val="100000"/>
                </a:srgbClr>
              </a:solidFill>
              <a:ln w="6350" cap="flat" cmpd="sng" algn="ctr">
                <a:solidFill>
                  <a:srgbClr val="FF00FF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299645114617122"/>
                  <c:y val="-0.032005086901229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04995723032174"/>
                  <c:y val="-0.027008741963129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05676855895196"/>
                  <c:y val="-0.04024767801857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07612815555061"/>
                  <c:y val="-0.037061146495143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9344978165939"/>
                  <c:y val="-0.03095975232198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7117903930131"/>
                  <c:y val="-0.027863777089783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349344978165939"/>
                  <c:y val="-0.027863777089783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49344978165939"/>
                  <c:y val="-0.037151702786377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36681222707424"/>
                  <c:y val="-0.03095975232198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80349344978166"/>
                  <c:y val="-0.037151702786377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[月报趋势图.xls]工业增加值!$B$7:$L$7</c:f>
              <c:numCache>
                <c:formatCode>General</c:formatCode>
                <c:ptCount val="11"/>
                <c:pt idx="0">
                  <c:v>8.4</c:v>
                </c:pt>
                <c:pt idx="1">
                  <c:v>9.2</c:v>
                </c:pt>
                <c:pt idx="2">
                  <c:v>8.7</c:v>
                </c:pt>
                <c:pt idx="3">
                  <c:v>8.5</c:v>
                </c:pt>
                <c:pt idx="4">
                  <c:v>8.6</c:v>
                </c:pt>
                <c:pt idx="5" c:formatCode="0.0_ ">
                  <c:v>8.6</c:v>
                </c:pt>
                <c:pt idx="6" c:formatCode="0.0_ ">
                  <c:v>8.6</c:v>
                </c:pt>
                <c:pt idx="7" c:formatCode="0.0_ ">
                  <c:v>8.5</c:v>
                </c:pt>
                <c:pt idx="8" c:formatCode="0.0_ ">
                  <c:v>8.5</c:v>
                </c:pt>
                <c:pt idx="9" c:formatCode="0.0_ ">
                  <c:v>8.6</c:v>
                </c:pt>
                <c:pt idx="10">
                  <c:v>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79933"/>
        <c:axId val="175651668"/>
      </c:lineChart>
      <c:catAx>
        <c:axId val="2957993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175651668"/>
        <c:crossesAt val="0"/>
        <c:auto val="0"/>
        <c:lblAlgn val="ctr"/>
        <c:lblOffset val="100"/>
        <c:tickLblSkip val="1"/>
        <c:noMultiLvlLbl val="0"/>
      </c:catAx>
      <c:valAx>
        <c:axId val="175651668"/>
        <c:scaling>
          <c:orientation val="minMax"/>
          <c:max val="14"/>
          <c:min val="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29579933"/>
        <c:crosses val="autoZero"/>
        <c:crossBetween val="between"/>
        <c:majorUnit val="2"/>
        <c:minorUnit val="1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267417030567686"/>
          <c:y val="0.248065015479876"/>
          <c:w val="0.473493100944081"/>
          <c:h val="0.065843621399177"/>
        </c:manualLayout>
      </c:layout>
      <c:overlay val="0"/>
      <c:spPr>
        <a:solidFill>
          <a:srgbClr val="FFFFFF"/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1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100" b="0" i="0" u="none" strike="noStrike" baseline="0">
          <a:solidFill>
            <a:srgbClr val="000000"/>
          </a:solidFill>
          <a:latin typeface="Times New Roman" panose="02020603050405020304" charset="-122"/>
          <a:ea typeface="Times New Roman" panose="02020603050405020304" charset="-122"/>
          <a:cs typeface="Times New Roman" panose="020206030504050203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1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</a:rPr>
              <a:t>固定资产投资分月累计增速%</a:t>
            </a:r>
            <a:endParaRPr sz="1200" b="1" i="0" u="none" strike="noStrike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26260762607626"/>
          <c:y val="0.015923566878980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8369861237194"/>
          <c:y val="0.192901821593129"/>
          <c:w val="0.868292050317728"/>
          <c:h val="0.727391109115402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[月报趋势图.xls]固定资产投资!$B$15</c:f>
              <c:strCache>
                <c:ptCount val="1"/>
                <c:pt idx="0">
                  <c:v>2018年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9"/>
            <c:marker>
              <c:symbol val="diamond"/>
              <c:size val="5"/>
              <c:spPr>
                <a:solidFill>
                  <a:srgbClr val="000080">
                    <a:alpha val="100000"/>
                  </a:srgbClr>
                </a:solidFill>
                <a:ln w="6350" cap="flat" cmpd="sng" algn="ctr">
                  <a:solidFill>
                    <a:srgbClr val="00008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-0.021363427992201"/>
                  <c:y val="-0.03059351417499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88536074201944"/>
                  <c:y val="0.03369318795206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8450184501845"/>
                  <c:y val="0.02229299363057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572246065808299"/>
                  <c:y val="-0.01972363165281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572246065808299"/>
                  <c:y val="0.02290834502860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18450184501845"/>
                  <c:y val="0.009349022994710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7453874538745"/>
                  <c:y val="0.02866242038216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3690036900369"/>
                  <c:y val="0.031847133757961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22140221402214"/>
                  <c:y val="0.02229299363057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465613424242844"/>
                  <c:y val="0.0497017944297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宋体" panose="02010600030101010101" charset="-122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[月报趋势图.xls]固定资产投资!$C$14:$M$14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[月报趋势图.xls]固定资产投资!$C$15:$M$15</c:f>
              <c:numCache>
                <c:formatCode>General</c:formatCode>
                <c:ptCount val="11"/>
                <c:pt idx="0">
                  <c:v>8.9</c:v>
                </c:pt>
                <c:pt idx="1">
                  <c:v>8.8</c:v>
                </c:pt>
                <c:pt idx="2">
                  <c:v>7.4</c:v>
                </c:pt>
                <c:pt idx="3" c:formatCode="0.0_ ">
                  <c:v>8.2</c:v>
                </c:pt>
                <c:pt idx="4" c:formatCode="0.0_ ">
                  <c:v>8.2</c:v>
                </c:pt>
                <c:pt idx="5">
                  <c:v>8.2</c:v>
                </c:pt>
                <c:pt idx="6">
                  <c:v>8.6</c:v>
                </c:pt>
                <c:pt idx="7">
                  <c:v>7.3</c:v>
                </c:pt>
                <c:pt idx="8" c:formatCode="0.0_ ">
                  <c:v>7.4</c:v>
                </c:pt>
                <c:pt idx="9">
                  <c:v>8.8</c:v>
                </c:pt>
                <c:pt idx="10">
                  <c:v>10.1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[月报趋势图.xls]固定资产投资!$B$16</c:f>
              <c:strCache>
                <c:ptCount val="1"/>
                <c:pt idx="0">
                  <c:v>2019年</c:v>
                </c:pt>
              </c:strCache>
            </c:strRef>
          </c:tx>
          <c:spPr>
            <a:ln w="25400" cap="rnd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  <c:marker>
            <c:symbol val="square"/>
            <c:size val="5"/>
            <c:spPr>
              <a:solidFill>
                <a:srgbClr val="FF00FF">
                  <a:alpha val="100000"/>
                </a:srgbClr>
              </a:solidFill>
              <a:ln w="6350" cap="flat" cmpd="sng" algn="ctr">
                <a:solidFill>
                  <a:srgbClr val="FF00FF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1"/>
            <c:marker>
              <c:symbol val="square"/>
              <c:size val="5"/>
              <c:spPr>
                <a:solidFill>
                  <a:srgbClr val="FF00FF">
                    <a:alpha val="100000"/>
                  </a:srgbClr>
                </a:solidFill>
                <a:ln w="6350" cap="flat" cmpd="sng" algn="ctr">
                  <a:solidFill>
                    <a:srgbClr val="FF00FF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</c:dPt>
          <c:dPt>
            <c:idx val="2"/>
            <c:marker>
              <c:symbol val="square"/>
              <c:size val="5"/>
              <c:spPr>
                <a:solidFill>
                  <a:srgbClr val="FF00FF">
                    <a:alpha val="100000"/>
                  </a:srgbClr>
                </a:solidFill>
                <a:ln w="6350" cap="flat" cmpd="sng" algn="ctr">
                  <a:solidFill>
                    <a:srgbClr val="FF00FF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</c:dPt>
          <c:dPt>
            <c:idx val="3"/>
            <c:marker>
              <c:symbol val="square"/>
              <c:size val="5"/>
              <c:spPr>
                <a:solidFill>
                  <a:srgbClr val="FF00FF">
                    <a:alpha val="100000"/>
                  </a:srgbClr>
                </a:solidFill>
                <a:ln w="6350" cap="flat" cmpd="sng" algn="ctr">
                  <a:solidFill>
                    <a:srgbClr val="FF00FF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</c:dPt>
          <c:dLbls>
            <c:dLbl>
              <c:idx val="0"/>
              <c:layout>
                <c:manualLayout>
                  <c:x val="-0.026205068917642"/>
                  <c:y val="0.04026773183633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8898426323319"/>
                  <c:y val="-0.050847457627118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73528517880661"/>
                  <c:y val="-0.048949622679991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5613424242843"/>
                  <c:y val="-0.03402895146738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6296116582886"/>
                  <c:y val="-0.03565865692524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61254612546125"/>
                  <c:y val="0.038216560509554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2186329106732"/>
                  <c:y val="-0.0308442380915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54912317231774"/>
                  <c:y val="-0.03059351417499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96099780608553"/>
                  <c:y val="0.02922688057194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719557195571956"/>
                  <c:y val="-0.02866242038216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宋体" panose="02010600030101010101" charset="-122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[月报趋势图.xls]固定资产投资!$C$14:$M$14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[月报趋势图.xls]固定资产投资!$C$16:$M$16</c:f>
              <c:numCache>
                <c:formatCode>General</c:formatCode>
                <c:ptCount val="11"/>
                <c:pt idx="0">
                  <c:v>8.4</c:v>
                </c:pt>
                <c:pt idx="1">
                  <c:v>8.9</c:v>
                </c:pt>
                <c:pt idx="2">
                  <c:v>9.2</c:v>
                </c:pt>
                <c:pt idx="3" c:formatCode="0.0_ ">
                  <c:v>10</c:v>
                </c:pt>
                <c:pt idx="4" c:formatCode="0.0_ ">
                  <c:v>9.9</c:v>
                </c:pt>
                <c:pt idx="5">
                  <c:v>10.6</c:v>
                </c:pt>
                <c:pt idx="6">
                  <c:v>9.9</c:v>
                </c:pt>
                <c:pt idx="7">
                  <c:v>10</c:v>
                </c:pt>
                <c:pt idx="8" c:formatCode="0.0_ ">
                  <c:v>10.6</c:v>
                </c:pt>
                <c:pt idx="9">
                  <c:v>10.9</c:v>
                </c:pt>
                <c:pt idx="10" c:formatCode="0.0_ 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434291"/>
        <c:axId val="463214472"/>
      </c:lineChart>
      <c:catAx>
        <c:axId val="18143429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463214472"/>
        <c:crosses val="autoZero"/>
        <c:auto val="0"/>
        <c:lblAlgn val="ctr"/>
        <c:lblOffset val="100"/>
        <c:tickLblSkip val="1"/>
        <c:noMultiLvlLbl val="0"/>
      </c:catAx>
      <c:valAx>
        <c:axId val="46321447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81434291"/>
        <c:crosses val="autoZero"/>
        <c:crossBetween val="between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5102803345718"/>
          <c:y val="0.131098679965355"/>
          <c:w val="0.384762441539864"/>
          <c:h val="0.072072190962273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900" b="1" i="0" u="none" strike="noStrike" kern="1200" cap="none" spc="0" normalizeH="0" baseline="0">
          <a:solidFill>
            <a:srgbClr val="000000"/>
          </a:solidFill>
          <a:uFill>
            <a:solidFill>
              <a:srgbClr val="000000"/>
            </a:solidFill>
          </a:u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>
                <a:solidFill>
                  <a:srgbClr val="000000">
                    <a:alpha val="100000"/>
                  </a:srgbClr>
                </a:solidFill>
                <a:uFillTx/>
              </a:rPr>
              <a:t>规模以上工业利润分月累计增速 %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52593975744544"/>
          <c:y val="0.0360110803324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"/>
          <c:y val="0.2645"/>
          <c:w val="0.82375"/>
          <c:h val="0.5842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[月报趋势图.xls]工业增加值!$A$32</c:f>
              <c:strCache>
                <c:ptCount val="1"/>
                <c:pt idx="0">
                  <c:v>2019年</c:v>
                </c:pt>
              </c:strCache>
            </c:strRef>
          </c:tx>
          <c:dLbls>
            <c:dLbl>
              <c:idx val="0"/>
              <c:layout>
                <c:manualLayout>
                  <c:x val="0.00113331959612611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80075"/>
                  <c:y val="-0.03622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45975"/>
                  <c:y val="-0.0800422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宋体" panose="02010600030101010101" charset="-122"/>
                        <a:cs typeface="宋体" panose="02010600030101010101" charset="-122"/>
                        <a:sym typeface="Times New Roman" panose="02020603050405020304" charset="0"/>
                      </a:defRPr>
                    </a:pPr>
                    <a:r>
                      <a:rPr sz="1000" b="1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</a:rPr>
                      <a:t>-17.5</a:t>
                    </a:r>
                    <a:endPara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78925"/>
                  <c:y val="-0.08967216620498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14967248062015"/>
                  <c:y val="-0.084393498614958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22054748062016"/>
                  <c:y val="-0.096662748614958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310077519379845"/>
                  <c:y val="-0.02770083102493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62015503875969"/>
                  <c:y val="-0.02770083102493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465116279069767"/>
                  <c:y val="-0.03324099722991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155038759689922"/>
                  <c:y val="-0.02770083102493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[月报趋势图.xls]工业增加值!$B$31:$L$31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[月报趋势图.xls]工业增加值!$B$32:$L$32</c:f>
              <c:numCache>
                <c:formatCode>0.0_ </c:formatCode>
                <c:ptCount val="11"/>
                <c:pt idx="0">
                  <c:v>43.6</c:v>
                </c:pt>
                <c:pt idx="1">
                  <c:v>-5.1</c:v>
                </c:pt>
                <c:pt idx="2">
                  <c:v>-17.5</c:v>
                </c:pt>
                <c:pt idx="3">
                  <c:v>-19</c:v>
                </c:pt>
                <c:pt idx="4">
                  <c:v>-16.7</c:v>
                </c:pt>
                <c:pt idx="5">
                  <c:v>-20.9</c:v>
                </c:pt>
                <c:pt idx="6">
                  <c:v>-16.5</c:v>
                </c:pt>
                <c:pt idx="7">
                  <c:v>-16.4</c:v>
                </c:pt>
                <c:pt idx="8">
                  <c:v>-16.5</c:v>
                </c:pt>
                <c:pt idx="9">
                  <c:v>-15.8</c:v>
                </c:pt>
                <c:pt idx="10">
                  <c:v>-10.7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[月报趋势图.xls]工业增加值!$A$33</c:f>
              <c:strCache>
                <c:ptCount val="1"/>
                <c:pt idx="0">
                  <c:v>2018年</c:v>
                </c:pt>
              </c:strCache>
            </c:strRef>
          </c:tx>
          <c:spPr>
            <a:ln w="19050" cap="rnd" cmpd="sng" algn="ctr">
              <a:solidFill>
                <a:srgbClr val="002060"/>
              </a:solidFill>
              <a:prstDash val="solid"/>
              <a:round/>
            </a:ln>
          </c:spPr>
          <c:dLbls>
            <c:dLbl>
              <c:idx val="0"/>
              <c:layout>
                <c:manualLayout>
                  <c:x val="0.0023696682464455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1972685887708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13331959612611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2003034901365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3696682464455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113331959612611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3696682464455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123634865031939"/>
                  <c:y val="0.008725341426403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123634865031939"/>
                  <c:y val="0.017450682852807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[月报趋势图.xls]工业增加值!$B$31:$L$31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[月报趋势图.xls]工业增加值!$B$33:$L$33</c:f>
              <c:numCache>
                <c:formatCode>0.0_ </c:formatCode>
                <c:ptCount val="11"/>
                <c:pt idx="0">
                  <c:v>7.4</c:v>
                </c:pt>
                <c:pt idx="1">
                  <c:v>22.4</c:v>
                </c:pt>
                <c:pt idx="2">
                  <c:v>27.2</c:v>
                </c:pt>
                <c:pt idx="3">
                  <c:v>43.2</c:v>
                </c:pt>
                <c:pt idx="4">
                  <c:v>47.8</c:v>
                </c:pt>
                <c:pt idx="5">
                  <c:v>95.1</c:v>
                </c:pt>
                <c:pt idx="6">
                  <c:v>96.3</c:v>
                </c:pt>
                <c:pt idx="7">
                  <c:v>73.8</c:v>
                </c:pt>
                <c:pt idx="8">
                  <c:v>66.7</c:v>
                </c:pt>
                <c:pt idx="9">
                  <c:v>32.3</c:v>
                </c:pt>
                <c:pt idx="10">
                  <c:v>24.8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439801"/>
        <c:axId val="246859875"/>
      </c:lineChart>
      <c:catAx>
        <c:axId val="7143980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246859875"/>
        <c:crosses val="autoZero"/>
        <c:auto val="1"/>
        <c:lblAlgn val="ctr"/>
        <c:lblOffset val="100"/>
        <c:tickLblSkip val="1"/>
        <c:noMultiLvlLbl val="0"/>
      </c:catAx>
      <c:valAx>
        <c:axId val="246859875"/>
        <c:scaling>
          <c:orientation val="minMax"/>
        </c:scaling>
        <c:delete val="0"/>
        <c:axPos val="l"/>
        <c:numFmt formatCode="0.0_ 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71439801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33941605839416"/>
          <c:y val="0.145435244161359"/>
          <c:w val="0.40675"/>
          <c:h val="0.067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>
                  <a:alpha val="100000"/>
                </a:srgbClr>
              </a:solidFill>
              <a:uFill>
                <a:solidFill>
                  <a:srgbClr val="000000">
                    <a:alpha val="100000"/>
                  </a:srgbClr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4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>
                <a:solidFill>
                  <a:srgbClr val="000000">
                    <a:alpha val="100000"/>
                  </a:srgbClr>
                </a:solidFill>
                <a:uFillTx/>
              </a:rPr>
              <a:t>社会消费品零售总额分月累计增速 %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58355592654424"/>
          <c:y val="0.069654051543998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08055555555556"/>
          <c:y val="0.23325"/>
          <c:w val="0.89225"/>
          <c:h val="0.5327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[月报趋势图.xls]固定资产投资!$A$41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125208681135225"/>
                  <c:y val="0.013927576601671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57739088957787"/>
                  <c:y val="0.03011939415041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21965180062008"/>
                  <c:y val="0.03481894150417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57739088957787"/>
                  <c:y val="0.031337047353760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05298513395341"/>
                  <c:y val="0.031837281674047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42758433367783"/>
                  <c:y val="0.04214833168263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29286906749344"/>
                  <c:y val="-0.05544403830083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65060815645123"/>
                  <c:y val="-0.03830083565459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11399952301455"/>
                  <c:y val="-0.045264623955431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82947770093012"/>
                  <c:y val="-0.048746518105849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[月报趋势图.xls]固定资产投资!$B$40:$L$40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[月报趋势图.xls]固定资产投资!$B$41:$L$41</c:f>
              <c:numCache>
                <c:formatCode>General</c:formatCode>
                <c:ptCount val="11"/>
                <c:pt idx="0">
                  <c:v>10.6</c:v>
                </c:pt>
                <c:pt idx="1" c:formatCode="0.0_ ">
                  <c:v>11</c:v>
                </c:pt>
                <c:pt idx="2" c:formatCode="0.0_ ">
                  <c:v>10.8</c:v>
                </c:pt>
                <c:pt idx="3">
                  <c:v>10.9</c:v>
                </c:pt>
                <c:pt idx="4">
                  <c:v>11.2</c:v>
                </c:pt>
                <c:pt idx="5" c:formatCode="0.0_ ">
                  <c:v>11</c:v>
                </c:pt>
                <c:pt idx="6">
                  <c:v>10.9</c:v>
                </c:pt>
                <c:pt idx="7" c:formatCode="0.0_ ">
                  <c:v>11</c:v>
                </c:pt>
                <c:pt idx="8" c:formatCode="0.0_ ">
                  <c:v>11</c:v>
                </c:pt>
                <c:pt idx="9" c:formatCode="0.0_ ">
                  <c:v>11</c:v>
                </c:pt>
                <c:pt idx="10" c:formatCode="0.0_ 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[月报趋势图.xls]固定资产投资!$A$42</c:f>
              <c:strCache>
                <c:ptCount val="1"/>
                <c:pt idx="0">
                  <c:v>2018年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square"/>
            <c:size val="5"/>
            <c:spPr>
              <a:solidFill>
                <a:srgbClr val="FF00FF">
                  <a:alpha val="100000"/>
                </a:srgbClr>
              </a:solidFill>
              <a:ln w="6350" cap="flat" cmpd="sng" algn="ctr">
                <a:solidFill>
                  <a:srgbClr val="FF00FF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280298513395341"/>
                  <c:y val="-0.022564995756385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9852134509897"/>
                  <c:y val="-0.03830083565459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39810180062008"/>
                  <c:y val="-0.03228843245125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5060815645123"/>
                  <c:y val="-0.0442182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553621114556"/>
                  <c:y val="-0.03197191411670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63214484458224"/>
                  <c:y val="-0.05607590828431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6012452301455"/>
                  <c:y val="0.03594160584958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82905815645123"/>
                  <c:y val="0.02376443245125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11399952301455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82947770093012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43095635583115"/>
                  <c:y val="-0.00696378830083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[月报趋势图.xls]固定资产投资!$B$40:$L$40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[月报趋势图.xls]固定资产投资!$B$42:$L$42</c:f>
              <c:numCache>
                <c:formatCode>General</c:formatCode>
                <c:ptCount val="11"/>
                <c:pt idx="0">
                  <c:v>11.7</c:v>
                </c:pt>
                <c:pt idx="1">
                  <c:v>11.8</c:v>
                </c:pt>
                <c:pt idx="2" c:formatCode="0.0_ ">
                  <c:v>11.5</c:v>
                </c:pt>
                <c:pt idx="3">
                  <c:v>11.3</c:v>
                </c:pt>
                <c:pt idx="4">
                  <c:v>11.3</c:v>
                </c:pt>
                <c:pt idx="5">
                  <c:v>10.9</c:v>
                </c:pt>
                <c:pt idx="6">
                  <c:v>10.7</c:v>
                </c:pt>
                <c:pt idx="7">
                  <c:v>10.6</c:v>
                </c:pt>
                <c:pt idx="8" c:formatCode="0.0_ ">
                  <c:v>10.5</c:v>
                </c:pt>
                <c:pt idx="9" c:formatCode="0.0_ ">
                  <c:v>10.5</c:v>
                </c:pt>
                <c:pt idx="10">
                  <c:v>10.5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933598"/>
        <c:axId val="332575079"/>
      </c:lineChart>
      <c:catAx>
        <c:axId val="36193359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332575079"/>
        <c:crossesAt val="10"/>
        <c:auto val="1"/>
        <c:lblAlgn val="ctr"/>
        <c:lblOffset val="100"/>
        <c:tickLblSkip val="1"/>
        <c:noMultiLvlLbl val="0"/>
      </c:catAx>
      <c:valAx>
        <c:axId val="332575079"/>
        <c:scaling>
          <c:orientation val="minMax"/>
          <c:max val="15"/>
          <c:min val="1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361933598"/>
        <c:crosses val="autoZero"/>
        <c:crossBetween val="between"/>
        <c:majorUnit val="1"/>
        <c:minorUnit val="0.5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3254233245886"/>
          <c:y val="0.232876712328767"/>
          <c:w val="0.39"/>
          <c:h val="0.087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rgbClr val="000000">
                  <a:alpha val="100000"/>
                </a:srgb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5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2020-03-09T03:31:18Z</dcterms:created>
  <dc:creator>ps</dc:creator>
  <cp:lastModifiedBy>ps</cp:lastModifiedBy>
  <dcterms:modified xsi:type="dcterms:W3CDTF">2020-03-09T03:33:25Z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