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5" w:beforeLines="50" w:after="310" w:afterLines="100"/>
        <w:jc w:val="center"/>
      </w:pPr>
      <w:bookmarkStart w:id="1" w:name="_GoBack"/>
      <w:bookmarkEnd w:id="1"/>
      <w:r>
        <w:rPr>
          <w:rFonts w:hint="eastAsia" w:ascii="方正大标宋简体" w:eastAsia="方正大标宋简体"/>
          <w:sz w:val="36"/>
          <w:szCs w:val="36"/>
        </w:rPr>
        <w:t>示范区1-4月经济运行简析</w:t>
      </w:r>
    </w:p>
    <w:p>
      <w:pPr>
        <w:spacing w:line="48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4月份，济源</w:t>
      </w:r>
      <w:r>
        <w:rPr>
          <w:rFonts w:ascii="宋体" w:hAnsi="宋体" w:cs="仿宋_GB2312"/>
          <w:sz w:val="24"/>
        </w:rPr>
        <w:t>疫情防控向好态势持续巩固，生产生活秩序加快恢复，主要指标增速明显回升，经济运行延续了恢复改善的良好势头</w:t>
      </w:r>
      <w:r>
        <w:rPr>
          <w:rFonts w:hint="eastAsia" w:ascii="宋体" w:hAnsi="宋体" w:cs="仿宋_GB2312"/>
          <w:sz w:val="24"/>
        </w:rPr>
        <w:t>。</w:t>
      </w:r>
    </w:p>
    <w:p>
      <w:pPr>
        <w:spacing w:line="480" w:lineRule="exact"/>
        <w:ind w:firstLine="482" w:firstLineChars="200"/>
        <w:rPr>
          <w:rFonts w:hint="eastAsia" w:ascii="宋体" w:hAnsi="宋体" w:cs="仿宋_GB2312"/>
          <w:b/>
          <w:sz w:val="24"/>
        </w:rPr>
      </w:pPr>
      <w:r>
        <w:rPr>
          <w:rFonts w:hint="eastAsia" w:ascii="宋体" w:hAnsi="宋体" w:cs="仿宋_GB2312"/>
          <w:b/>
          <w:sz w:val="24"/>
        </w:rPr>
        <w:t>一、工业生产增速持续回升</w:t>
      </w:r>
    </w:p>
    <w:p>
      <w:pPr>
        <w:spacing w:line="48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4月份，示范区规上工业增加值增速同比增长5.4%，较3月份回升1.2个百分点；1-4月累计增长0.2%，累计增速实现今年以来首次由负转正，高于全省平均增速3.1个百分点，居全省第三，较1-3月提高1.5个百分点。</w:t>
      </w:r>
    </w:p>
    <w:p>
      <w:pPr>
        <w:spacing w:line="48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分三大门类看，1-4月份采矿业增加值同比增长1.0%，制造业增长4.1%，电力、热力及水生产和供应业下降16.7%。</w:t>
      </w:r>
    </w:p>
    <w:p>
      <w:pPr>
        <w:spacing w:line="48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分经济类型看，国有控股企业增加值同比下降14.4%，集体控股企业下降0.9%，股份制企业增长2.8%，外商及港澳台商投资企业下降20.8%。</w:t>
      </w:r>
    </w:p>
    <w:p>
      <w:pPr>
        <w:spacing w:line="480" w:lineRule="exact"/>
        <w:rPr>
          <w:rFonts w:hint="eastAsia" w:ascii="宋体" w:hAnsi="宋体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 xml:space="preserve">    </w:t>
      </w:r>
      <w:r>
        <w:rPr>
          <w:rFonts w:hint="eastAsia" w:ascii="宋体" w:hAnsi="宋体" w:cs="仿宋_GB2312"/>
          <w:b/>
          <w:sz w:val="24"/>
        </w:rPr>
        <w:t>二、固定资产投资降幅持续收窄</w:t>
      </w:r>
    </w:p>
    <w:p>
      <w:pPr>
        <w:spacing w:line="48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1-4月，示范区固定资产投资（不含农户）同比下降5.9%，降幅较1-3月收窄0.8个百分点，低于全省平均水平4.8个百分点，居全省第16位。其中，房地产投资完成4.2亿元，同比增长9.4%，高于全省平均水平8.7个百分点，居全省第3位。商品房销售面积6.6万平方米，同比下降71.1%，居全省第18位。</w:t>
      </w:r>
    </w:p>
    <w:p>
      <w:pPr>
        <w:spacing w:line="48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分产业看，第一产业投资增长55.3%，第二产业投资下降15.6%，第三产业增长3.3%。</w:t>
      </w:r>
    </w:p>
    <w:p>
      <w:pPr>
        <w:spacing w:line="480" w:lineRule="exact"/>
        <w:ind w:firstLine="472" w:firstLineChars="196"/>
        <w:rPr>
          <w:rFonts w:hint="eastAsia" w:ascii="宋体" w:hAnsi="宋体" w:cs="仿宋_GB2312"/>
          <w:b/>
          <w:sz w:val="24"/>
        </w:rPr>
      </w:pPr>
      <w:r>
        <w:rPr>
          <w:rFonts w:hint="eastAsia" w:ascii="宋体" w:hAnsi="宋体" w:cs="仿宋_GB2312"/>
          <w:b/>
          <w:sz w:val="24"/>
        </w:rPr>
        <w:t>三、消费市场仍有待恢复</w:t>
      </w:r>
    </w:p>
    <w:p>
      <w:pPr>
        <w:spacing w:line="480" w:lineRule="exact"/>
        <w:ind w:firstLine="480" w:firstLineChars="20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1-4月，示范区社会消费品零售总额完成47.6亿元，下降16.7%，降幅较1-3月收窄4.9个百分点，居全省第7位。按销售所在地分，城镇限上单位消费品零售额7.0亿元，下降17.7%；乡村限上单位消费品零售额0.1亿元，增长32.6%。</w:t>
      </w:r>
    </w:p>
    <w:p>
      <w:pPr>
        <w:numPr>
          <w:ilvl w:val="0"/>
          <w:numId w:val="11"/>
        </w:numPr>
        <w:spacing w:line="480" w:lineRule="exact"/>
        <w:ind w:firstLine="480"/>
        <w:rPr>
          <w:rFonts w:hint="eastAsia" w:ascii="宋体" w:hAnsi="宋体" w:cs="仿宋_GB2312"/>
          <w:b/>
          <w:sz w:val="24"/>
        </w:rPr>
      </w:pPr>
      <w:r>
        <w:rPr>
          <w:rFonts w:hint="eastAsia" w:ascii="宋体" w:hAnsi="宋体" w:cs="仿宋_GB2312"/>
          <w:b/>
          <w:sz w:val="24"/>
        </w:rPr>
        <w:t>财政收入降幅大幅收窄</w:t>
      </w:r>
    </w:p>
    <w:p>
      <w:pPr>
        <w:spacing w:line="48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1-4月，示范区一般公共预算收入完成19.3亿元，下降3.8%，较3月底降幅收窄9.3个百分点，高于全省平均水平7.7个百分点，居全省第2位，比3月底提升7个位次。其中，税收收入完成12.7亿元，下降20.6%，低于全省平均水平0.9个百分点。居全省第10位。非税收入完成6.5亿元，增长63.5%，高于全省平均水平54.5个百分点，居全省第1位。</w:t>
      </w:r>
    </w:p>
    <w:p>
      <w:pPr>
        <w:spacing w:line="480" w:lineRule="exact"/>
        <w:ind w:firstLine="48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示范区一般公共预算支出30.5亿元，增长1.7%，高于全省平均水平3.3个百分点，居全省第7位。</w:t>
      </w:r>
    </w:p>
    <w:p>
      <w:pPr>
        <w:spacing w:line="480" w:lineRule="exact"/>
        <w:ind w:firstLine="48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4月末，金融机构人民币各项存款余额557.3亿元，增长9.0%，居全省第11位；金融机构人民币各项贷款余额357.9亿元，增长15.0%，居全省第11位。</w:t>
      </w:r>
    </w:p>
    <w:p>
      <w:pPr>
        <w:numPr>
          <w:ilvl w:val="0"/>
          <w:numId w:val="11"/>
        </w:numPr>
        <w:spacing w:line="480" w:lineRule="exact"/>
        <w:ind w:firstLine="480"/>
        <w:rPr>
          <w:b/>
          <w:sz w:val="24"/>
        </w:rPr>
      </w:pPr>
      <w:r>
        <w:rPr>
          <w:rFonts w:hint="eastAsia" w:ascii="宋体" w:hAnsi="宋体" w:cs="仿宋_GB2312"/>
          <w:b/>
          <w:sz w:val="24"/>
        </w:rPr>
        <w:t>居民消费价格涨幅持续回落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rFonts w:hint="eastAsia" w:ascii="宋体" w:hAnsi="宋体" w:cs="仿宋_GB2312"/>
          <w:sz w:val="24"/>
        </w:rPr>
        <w:t>1-4月，示范区居民消费价格同比上涨3.0%，较1-3月回落0.8个百分比。八大类商品和服务价格呈“三升四降一平”的态势。其中，食品烟酒类、居住类和其他用品和服务类分别累计上涨12.1%、0.1%、10.2%；衣着类、生活用品及服务类、交通通信类和教育文化和娱乐类分别下跌8.2%、1.2%、2.0%、0.8%；医疗保健类价格持平。在食品烟酒价格中，粮食价格持平，鲜菜上涨7.2</w:t>
      </w:r>
      <w:r>
        <w:rPr>
          <w:rFonts w:ascii="宋体" w:hAnsi="宋体" w:cs="仿宋_GB2312"/>
          <w:sz w:val="24"/>
        </w:rPr>
        <w:t>%</w:t>
      </w:r>
      <w:r>
        <w:rPr>
          <w:rFonts w:hint="eastAsia" w:ascii="宋体" w:hAnsi="宋体" w:cs="仿宋_GB2312"/>
          <w:sz w:val="24"/>
        </w:rPr>
        <w:t>，畜肉上涨</w:t>
      </w:r>
      <w:r>
        <w:rPr>
          <w:rFonts w:ascii="宋体" w:hAnsi="宋体" w:cs="仿宋_GB2312"/>
          <w:sz w:val="24"/>
        </w:rPr>
        <w:t>9</w:t>
      </w:r>
      <w:r>
        <w:rPr>
          <w:rFonts w:hint="eastAsia" w:ascii="宋体" w:hAnsi="宋体" w:cs="仿宋_GB2312"/>
          <w:sz w:val="24"/>
        </w:rPr>
        <w:t>8.1</w:t>
      </w:r>
      <w:r>
        <w:rPr>
          <w:rFonts w:ascii="宋体" w:hAnsi="宋体" w:cs="仿宋_GB2312"/>
          <w:sz w:val="24"/>
        </w:rPr>
        <w:t>%</w:t>
      </w:r>
      <w:r>
        <w:rPr>
          <w:rFonts w:hint="eastAsia" w:ascii="宋体" w:hAnsi="宋体" w:cs="仿宋_GB2312"/>
          <w:sz w:val="24"/>
        </w:rPr>
        <w:t>，鲜果下降</w:t>
      </w:r>
      <w:r>
        <w:rPr>
          <w:rFonts w:ascii="宋体" w:hAnsi="宋体" w:cs="仿宋_GB2312"/>
          <w:sz w:val="24"/>
        </w:rPr>
        <w:t>1</w:t>
      </w:r>
      <w:r>
        <w:rPr>
          <w:rFonts w:hint="eastAsia" w:ascii="宋体" w:hAnsi="宋体" w:cs="仿宋_GB2312"/>
          <w:sz w:val="24"/>
        </w:rPr>
        <w:t>9.3</w:t>
      </w:r>
      <w:r>
        <w:rPr>
          <w:rFonts w:ascii="宋体" w:hAnsi="宋体" w:cs="仿宋_GB2312"/>
          <w:sz w:val="24"/>
        </w:rPr>
        <w:t>%</w:t>
      </w:r>
      <w:r>
        <w:rPr>
          <w:rFonts w:hint="eastAsia" w:ascii="宋体" w:hAnsi="宋体" w:cs="仿宋_GB2312"/>
          <w:sz w:val="24"/>
        </w:rPr>
        <w:t>。</w:t>
      </w:r>
    </w:p>
    <w:p>
      <w:pPr>
        <w:widowControl/>
        <w:spacing w:line="520" w:lineRule="exact"/>
        <w:rPr>
          <w:rFonts w:hint="eastAsia" w:ascii="宋体" w:hAnsi="宋体" w:cs="仿宋_GB2312"/>
          <w:szCs w:val="21"/>
        </w:rPr>
      </w:pPr>
    </w:p>
    <w:p>
      <w:pPr>
        <w:widowControl/>
        <w:spacing w:line="520" w:lineRule="exact"/>
        <w:rPr>
          <w:rFonts w:hint="eastAsia" w:ascii="宋体" w:hAnsi="宋体" w:cs="仿宋_GB2312"/>
          <w:szCs w:val="21"/>
        </w:rPr>
      </w:pPr>
    </w:p>
    <w:p>
      <w:pPr>
        <w:widowControl/>
        <w:spacing w:line="520" w:lineRule="exact"/>
        <w:rPr>
          <w:rFonts w:hint="eastAsia" w:ascii="宋体" w:hAnsi="宋体" w:cs="仿宋_GB2312"/>
          <w:szCs w:val="21"/>
        </w:rPr>
      </w:pPr>
    </w:p>
    <w:p>
      <w:pPr>
        <w:widowControl/>
        <w:spacing w:line="520" w:lineRule="exact"/>
        <w:rPr>
          <w:rFonts w:hint="eastAsia" w:ascii="宋体" w:hAnsi="宋体" w:cs="仿宋_GB2312"/>
          <w:szCs w:val="21"/>
        </w:rPr>
      </w:pPr>
    </w:p>
    <w:p>
      <w:pPr>
        <w:widowControl/>
        <w:spacing w:line="520" w:lineRule="exact"/>
        <w:rPr>
          <w:rFonts w:hint="eastAsia" w:ascii="宋体" w:hAnsi="宋体" w:cs="仿宋_GB2312"/>
          <w:szCs w:val="21"/>
        </w:rPr>
      </w:pPr>
    </w:p>
    <w:p>
      <w:pPr>
        <w:widowControl/>
        <w:spacing w:line="360" w:lineRule="auto"/>
        <w:ind w:firstLine="1280" w:firstLineChars="400"/>
        <w:rPr>
          <w:color w:val="00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主要经济指标发展趋势图</w:t>
      </w:r>
    </w:p>
    <w:p>
      <w:pPr>
        <w:jc w:val="left"/>
        <w:rPr>
          <w:color w:val="000000"/>
        </w:rPr>
      </w:pPr>
    </w:p>
    <w:p>
      <w:pPr>
        <w:jc w:val="center"/>
        <w:rPr>
          <w:rFonts w:hint="eastAsia"/>
          <w:color w:val="000000"/>
        </w:rPr>
      </w:pPr>
      <w:r>
        <w:drawing>
          <wp:inline distT="0" distB="0" distL="114300" distR="114300">
            <wp:extent cx="3848735" cy="2025650"/>
            <wp:effectExtent l="0" t="0" r="0" b="0"/>
            <wp:docPr id="1" name="Host Control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outlineLvl w:val="0"/>
        <w:rPr>
          <w:rFonts w:hint="eastAsia"/>
          <w:color w:val="000000"/>
        </w:rPr>
      </w:pPr>
    </w:p>
    <w:p>
      <w:pPr>
        <w:outlineLvl w:val="0"/>
        <w:rPr>
          <w:rFonts w:hint="eastAsia"/>
          <w:color w:val="000000"/>
        </w:rPr>
      </w:pPr>
    </w:p>
    <w:p>
      <w:pPr>
        <w:jc w:val="center"/>
        <w:outlineLvl w:val="0"/>
        <w:rPr>
          <w:rFonts w:hint="eastAsia"/>
          <w:color w:val="000000"/>
        </w:rPr>
      </w:pPr>
      <w:r>
        <w:drawing>
          <wp:inline distT="0" distB="0" distL="114300" distR="114300">
            <wp:extent cx="3849370" cy="2112010"/>
            <wp:effectExtent l="0" t="0" r="0" b="0"/>
            <wp:docPr id="2" name="Char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outlineLvl w:val="0"/>
        <w:rPr>
          <w:rFonts w:hint="eastAsia"/>
        </w:rPr>
      </w:pPr>
    </w:p>
    <w:p>
      <w:pPr>
        <w:jc w:val="center"/>
        <w:outlineLvl w:val="0"/>
        <w:rPr>
          <w:rFonts w:hint="eastAsia"/>
        </w:rPr>
      </w:pPr>
    </w:p>
    <w:p>
      <w:pPr>
        <w:jc w:val="center"/>
        <w:outlineLvl w:val="0"/>
        <w:rPr>
          <w:rFonts w:hint="eastAsia"/>
        </w:rPr>
      </w:pPr>
    </w:p>
    <w:p>
      <w:pPr>
        <w:jc w:val="center"/>
        <w:outlineLvl w:val="0"/>
        <w:rPr>
          <w:rFonts w:hint="eastAsia"/>
        </w:rPr>
      </w:pPr>
    </w:p>
    <w:p>
      <w:pPr>
        <w:jc w:val="center"/>
        <w:outlineLvl w:val="0"/>
        <w:rPr>
          <w:rFonts w:hint="eastAsia"/>
        </w:rPr>
      </w:pPr>
    </w:p>
    <w:p>
      <w:pPr>
        <w:jc w:val="center"/>
        <w:outlineLvl w:val="0"/>
        <w:rPr>
          <w:rFonts w:hint="eastAsia"/>
        </w:rPr>
      </w:pPr>
    </w:p>
    <w:p>
      <w:pPr>
        <w:jc w:val="center"/>
        <w:outlineLvl w:val="0"/>
        <w:rPr>
          <w:rFonts w:hint="eastAsia"/>
        </w:rPr>
      </w:pPr>
      <w:r>
        <w:drawing>
          <wp:inline distT="0" distB="0" distL="114300" distR="114300">
            <wp:extent cx="3849370" cy="2545080"/>
            <wp:effectExtent l="0" t="0" r="0" b="0"/>
            <wp:docPr id="3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center"/>
        <w:outlineLvl w:val="0"/>
        <w:rPr>
          <w:rFonts w:hint="eastAsia"/>
        </w:rPr>
      </w:pPr>
    </w:p>
    <w:p>
      <w:pPr>
        <w:jc w:val="center"/>
        <w:outlineLvl w:val="0"/>
        <w:rPr>
          <w:rFonts w:hint="eastAsia"/>
          <w:color w:val="000000"/>
        </w:rPr>
      </w:pPr>
    </w:p>
    <w:p>
      <w:pPr>
        <w:jc w:val="center"/>
        <w:outlineLvl w:val="0"/>
        <w:rPr>
          <w:rFonts w:hint="eastAsia"/>
          <w:color w:val="000000"/>
        </w:rPr>
      </w:pPr>
    </w:p>
    <w:p>
      <w:pPr>
        <w:jc w:val="center"/>
        <w:outlineLvl w:val="0"/>
        <w:rPr>
          <w:rFonts w:hint="eastAsia"/>
          <w:color w:val="000000"/>
        </w:rPr>
      </w:pPr>
      <w:r>
        <w:drawing>
          <wp:inline distT="0" distB="0" distL="114300" distR="114300">
            <wp:extent cx="3851275" cy="1837055"/>
            <wp:effectExtent l="0" t="0" r="0" b="0"/>
            <wp:docPr id="4" name="Host Control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tabs>
          <w:tab w:val="left" w:pos="2067"/>
        </w:tabs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2067"/>
        </w:tabs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示范区主要经济指标</w:t>
      </w:r>
    </w:p>
    <w:p>
      <w:pPr>
        <w:jc w:val="center"/>
        <w:rPr>
          <w:color w:val="000000"/>
          <w:sz w:val="18"/>
          <w:szCs w:val="18"/>
        </w:rPr>
      </w:pP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0"/>
        <w:gridCol w:w="2974"/>
        <w:gridCol w:w="1101"/>
        <w:gridCol w:w="1043"/>
        <w:gridCol w:w="96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4" w:hRule="exact"/>
          <w:jc w:val="center"/>
        </w:trPr>
        <w:tc>
          <w:tcPr>
            <w:tcW w:w="3124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101" w:type="dxa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43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1-本月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地区生产总值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（一季度）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154.25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第一产业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4.66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第二产业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93.12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第三产业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56.46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规模以上工业增加值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－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规模以上工业产销率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5.0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固定资产投资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－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社会消费品零售总额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47.6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地方财政收入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20.74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-7.5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19.26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地方财政支出 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39.17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公共预算支出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30.50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金融机构月末存款余额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557.3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#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住户存款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57.5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金融机构月末贷款余额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357.9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进出口总额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44.8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#出口总额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（一季度）   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8255.1 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城镇居民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（一季度）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9270.3 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居民人均可支配收入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（一季度）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7005.3 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居民消费价格总指数</w:t>
            </w:r>
          </w:p>
        </w:tc>
        <w:tc>
          <w:tcPr>
            <w:tcW w:w="11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103.0</w:t>
            </w:r>
          </w:p>
        </w:tc>
        <w:tc>
          <w:tcPr>
            <w:tcW w:w="96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1-3月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规模以上工业营业收入</w:t>
            </w:r>
          </w:p>
        </w:tc>
        <w:tc>
          <w:tcPr>
            <w:tcW w:w="110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—</w:t>
            </w:r>
          </w:p>
        </w:tc>
        <w:tc>
          <w:tcPr>
            <w:tcW w:w="96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93"/>
              </w:tabs>
              <w:autoSpaceDN w:val="0"/>
              <w:ind w:right="105" w:rightChars="5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-5.4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5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974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利润总额</w:t>
            </w:r>
          </w:p>
        </w:tc>
        <w:tc>
          <w:tcPr>
            <w:tcW w:w="110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亿元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—</w:t>
            </w:r>
          </w:p>
        </w:tc>
        <w:tc>
          <w:tcPr>
            <w:tcW w:w="969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-32.1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8335" w:h="11850"/>
          <w:pgMar w:top="1134" w:right="1134" w:bottom="1134" w:left="1134" w:header="567" w:footer="851" w:gutter="0"/>
          <w:cols w:space="720" w:num="1"/>
          <w:docGrid w:type="lines" w:linePitch="310" w:charSpace="0"/>
        </w:sectPr>
      </w:pP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规模以上工业增加值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ascii="宋体" w:hAnsi="宋体"/>
          <w:color w:val="000000"/>
          <w:sz w:val="18"/>
          <w:szCs w:val="18"/>
        </w:rPr>
        <w:t>单位：%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"/>
        <w:gridCol w:w="3476"/>
        <w:gridCol w:w="1374"/>
        <w:gridCol w:w="121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1" w:hRule="exact"/>
          <w:jc w:val="center"/>
        </w:trPr>
        <w:tc>
          <w:tcPr>
            <w:tcW w:w="3651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37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本月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累计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规模以上工业增加值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#轻工业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重工业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#国有控股企业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-6.0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#国有企业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-2.8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集体企业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587.5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股份制企业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外商和港澳台商投资企业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-23.6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其他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#公有制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-6.6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非公有制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#大型企业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中型企业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-23.1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小型企业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#大中型企业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其中：国有控股企业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-5.8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#高技术产业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122.3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#内资企业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港、澳、台商投资企业</w:t>
            </w:r>
          </w:p>
        </w:tc>
        <w:tc>
          <w:tcPr>
            <w:tcW w:w="13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2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7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外商投资企业</w:t>
            </w:r>
          </w:p>
        </w:tc>
        <w:tc>
          <w:tcPr>
            <w:tcW w:w="137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-23.6</w:t>
            </w:r>
          </w:p>
        </w:tc>
        <w:tc>
          <w:tcPr>
            <w:tcW w:w="121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-20.8</w:t>
            </w:r>
          </w:p>
        </w:tc>
      </w:tr>
    </w:tbl>
    <w:p>
      <w:pPr>
        <w:spacing w:line="100" w:lineRule="atLeast"/>
        <w:rPr>
          <w:rFonts w:hint="eastAsia"/>
          <w:color w:val="000000"/>
          <w:sz w:val="15"/>
          <w:szCs w:val="15"/>
        </w:rPr>
      </w:pPr>
      <w:r>
        <w:rPr>
          <w:rFonts w:hint="eastAsia"/>
          <w:b/>
          <w:bCs/>
          <w:color w:val="000000"/>
          <w:sz w:val="15"/>
          <w:szCs w:val="15"/>
        </w:rPr>
        <w:t xml:space="preserve">注: </w:t>
      </w:r>
      <w:r>
        <w:rPr>
          <w:rFonts w:hint="eastAsia"/>
          <w:color w:val="000000"/>
          <w:sz w:val="15"/>
          <w:szCs w:val="15"/>
        </w:rPr>
        <w:t xml:space="preserve">1.规模以上工业统计范围为年主营业务收入2000万元及以上的全部工业企业; </w:t>
      </w:r>
    </w:p>
    <w:p>
      <w:pPr>
        <w:spacing w:line="100" w:lineRule="atLeast"/>
        <w:rPr>
          <w:rFonts w:hint="eastAsia"/>
          <w:color w:val="000000"/>
          <w:sz w:val="15"/>
          <w:szCs w:val="18"/>
        </w:rPr>
      </w:pPr>
      <w:r>
        <w:rPr>
          <w:rFonts w:hint="eastAsia"/>
          <w:color w:val="000000"/>
          <w:sz w:val="15"/>
          <w:szCs w:val="15"/>
        </w:rPr>
        <w:t xml:space="preserve">   2.增加值增长速度按可比价计算。</w:t>
      </w: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规模以上工业分行业增加值增速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  <w:szCs w:val="18"/>
        </w:rPr>
        <w:t>单位：%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"/>
        <w:gridCol w:w="3306"/>
        <w:gridCol w:w="1381"/>
        <w:gridCol w:w="13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3476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38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本月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累计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70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工业行业合计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5.4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0.2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#高成长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产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33.7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#传统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支柱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行业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-0.5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煤炭开采和洗选业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-7.5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黑色金属矿采选业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有色金属矿采选业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农副食品加工业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-9.9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食品制造业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460.7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酒、饮料和精制茶制造业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-41.4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-48.8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纺织业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皮革、毛皮、羽毛及其制品和制鞋业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木材加工和木、竹、藤、棕、草制品业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-78.6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造纸和纸制品业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-12.8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印刷和记录媒介复制业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文教、工美、体育和娱乐用品制造业</w:t>
            </w:r>
          </w:p>
        </w:tc>
        <w:tc>
          <w:tcPr>
            <w:tcW w:w="138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-4.9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石油加工、炼焦和核燃料加工业</w:t>
            </w:r>
          </w:p>
        </w:tc>
        <w:tc>
          <w:tcPr>
            <w:tcW w:w="138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-28.7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-23.2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规模以上工业分行业增加值增速（续）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  <w:szCs w:val="18"/>
        </w:rPr>
        <w:t>单位：%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"/>
        <w:gridCol w:w="3440"/>
        <w:gridCol w:w="1251"/>
        <w:gridCol w:w="13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606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本月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累计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化学原料和化学制品制造业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医药制造业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-19.6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化学纤维制造业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橡胶和塑料制品业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非金属矿物制品业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黑色金属冶炼和压延加工业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有色金属冶炼和压延加工业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金属制品业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-11.4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通用设备制造业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专用设备制造业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-15.1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汽车制造业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18"/>
                <w:szCs w:val="18"/>
                <w:lang w:bidi="ar"/>
              </w:rPr>
              <w:t>铁路、船舶、航空航天和其他运输设备制造业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电气机械和器材制造业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计算机、通信和其他电子设备制造业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131.3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仪器仪表制造业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161.5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其他制造业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废弃资源综合利用业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-17.9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电力、热力生产和供应业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-7.3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燃气生产和供应业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  <w:tc>
          <w:tcPr>
            <w:tcW w:w="138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40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水的生产和供应业</w:t>
            </w:r>
          </w:p>
        </w:tc>
        <w:tc>
          <w:tcPr>
            <w:tcW w:w="125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-13.4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规模以上工业产品产销率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单位：%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"/>
        <w:gridCol w:w="3113"/>
        <w:gridCol w:w="984"/>
        <w:gridCol w:w="985"/>
        <w:gridCol w:w="9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283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    标</w:t>
            </w:r>
          </w:p>
        </w:tc>
        <w:tc>
          <w:tcPr>
            <w:tcW w:w="984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本月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同比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增长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工业产品销售率总计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轻工业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重工业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国有控股企业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95.5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国有企业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集体企业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股份制企业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外商和港澳台商投资企业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其他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公有制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非公有制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大型企业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中型企业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95.3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小型企业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大中型企业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</w:rPr>
              <w:t>其中：国有控股企业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高技术产业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81.7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#</w:t>
            </w:r>
            <w:r>
              <w:rPr>
                <w:rFonts w:ascii="宋体" w:hAnsi="宋体"/>
                <w:color w:val="000000"/>
                <w:sz w:val="18"/>
              </w:rPr>
              <w:t>内资企业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港、澳、台商投资企业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113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</w:rPr>
              <w:t>外商投资企业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-1.6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规模以上工业主要产品产量</w:t>
      </w:r>
    </w:p>
    <w:p>
      <w:pPr>
        <w:jc w:val="center"/>
        <w:rPr>
          <w:rFonts w:hint="eastAsia"/>
          <w:color w:val="000000"/>
          <w:sz w:val="18"/>
          <w:szCs w:val="18"/>
        </w:rPr>
      </w:pP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41"/>
        <w:gridCol w:w="2287"/>
        <w:gridCol w:w="1253"/>
        <w:gridCol w:w="1282"/>
        <w:gridCol w:w="117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528" w:type="dxa"/>
            <w:gridSpan w:val="2"/>
            <w:tcBorders>
              <w:top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    标</w:t>
            </w:r>
          </w:p>
        </w:tc>
        <w:tc>
          <w:tcPr>
            <w:tcW w:w="1253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单位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241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互感器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软饮料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202471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氢氧化钠（烧碱）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114509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初级形态塑料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104460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中成药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水泥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284756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耐火材料制品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47380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生铁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1258343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粗钢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1296014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钢材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1139003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铅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343416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黄金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4536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24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白银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千克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938620</w:t>
            </w:r>
          </w:p>
        </w:tc>
        <w:tc>
          <w:tcPr>
            <w:tcW w:w="11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241" w:type="dxa"/>
            <w:tcBorders>
              <w:bottom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锌</w:t>
            </w:r>
          </w:p>
        </w:tc>
        <w:tc>
          <w:tcPr>
            <w:tcW w:w="1253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111973</w:t>
            </w:r>
          </w:p>
        </w:tc>
        <w:tc>
          <w:tcPr>
            <w:tcW w:w="1174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24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锻件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6630</w:t>
            </w: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-22.3</w:t>
            </w:r>
          </w:p>
        </w:tc>
      </w:tr>
    </w:tbl>
    <w:p>
      <w:pPr>
        <w:jc w:val="both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规模以上工业主要效益指标增速（1-3月）</w:t>
      </w:r>
    </w:p>
    <w:p>
      <w:pPr>
        <w:jc w:val="center"/>
        <w:outlineLvl w:val="0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                                              单位：%</w:t>
      </w:r>
    </w:p>
    <w:tbl>
      <w:tblPr>
        <w:tblStyle w:val="88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9"/>
        <w:gridCol w:w="3757"/>
        <w:gridCol w:w="206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</w:trPr>
        <w:tc>
          <w:tcPr>
            <w:tcW w:w="4016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206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长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企业单位个数（个）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其中：亏损企业个数（个）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流动资产合计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　其中：应收帐款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-7.0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　　　　存货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-12.9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　　　　　　其中：产成品　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24.3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资产总计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负债合计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营业收入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-5.4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营业成本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销售费用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-25.7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管理费用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-0.2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财务费用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-24.6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营业利润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-20.6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利润总额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-32.1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亏损企业亏损额</w:t>
            </w:r>
          </w:p>
        </w:tc>
        <w:tc>
          <w:tcPr>
            <w:tcW w:w="206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-69.5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</w:trPr>
        <w:tc>
          <w:tcPr>
            <w:tcW w:w="25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从业人员平均人数</w:t>
            </w:r>
          </w:p>
        </w:tc>
        <w:tc>
          <w:tcPr>
            <w:tcW w:w="206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-4.1 </w:t>
            </w:r>
          </w:p>
        </w:tc>
      </w:tr>
    </w:tbl>
    <w:p>
      <w:pPr>
        <w:ind w:firstLine="180" w:firstLineChars="100"/>
        <w:outlineLvl w:val="0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 w:val="18"/>
          <w:szCs w:val="18"/>
        </w:rPr>
        <w:t>注：</w:t>
      </w:r>
      <w:r>
        <w:rPr>
          <w:rFonts w:hint="eastAsia"/>
          <w:sz w:val="18"/>
          <w:szCs w:val="18"/>
        </w:rPr>
        <w:t>统计范围为年主营业务收入2000万元及以上的全部工业企业。</w:t>
      </w:r>
    </w:p>
    <w:p>
      <w:pPr>
        <w:jc w:val="center"/>
        <w:outlineLvl w:val="0"/>
        <w:rPr>
          <w:rFonts w:hint="eastAsia" w:ascii="黑体" w:hAnsi="黑体" w:eastAsia="黑体" w:cs="黑体"/>
          <w:color w:val="000000"/>
          <w:w w:val="9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工业企业各种分组主要经济指标增速（1-3月）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</w:rPr>
        <w:t>单位：%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88"/>
        <w:tblW w:w="62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853"/>
        <w:gridCol w:w="1110"/>
        <w:gridCol w:w="1019"/>
        <w:gridCol w:w="13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89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指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标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企业数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（个）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营业收入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增长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利润总额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增  长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亏损企业亏损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额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增长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-32.1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公有制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-21.3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-109.3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   国有控股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-20.2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-113.8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   集体控股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-43.5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-22.2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非公有制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-16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   私人控股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7.4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-13450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 港澳台商控股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-600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   外商控股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-22.7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   其他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-8.9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-59.4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轻工业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-21.2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-63.9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重工业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-27.6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9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大中型企业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-28.7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高技术企业</w:t>
            </w:r>
          </w:p>
        </w:tc>
        <w:tc>
          <w:tcPr>
            <w:tcW w:w="83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148.6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-96.8</w:t>
            </w:r>
          </w:p>
        </w:tc>
        <w:tc>
          <w:tcPr>
            <w:tcW w:w="129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-96.1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分行业工业企业主要经济指标增速（1-3月）</w:t>
      </w:r>
    </w:p>
    <w:p>
      <w:pPr>
        <w:wordWrap w:val="0"/>
        <w:jc w:val="right"/>
        <w:rPr>
          <w:rFonts w:hint="eastAsia"/>
          <w:color w:val="000000"/>
        </w:rPr>
      </w:pPr>
      <w:r>
        <w:rPr>
          <w:rFonts w:ascii="宋体" w:hAnsi="宋体"/>
          <w:color w:val="000000"/>
          <w:sz w:val="18"/>
          <w:szCs w:val="18"/>
        </w:rPr>
        <w:t>单位：</w:t>
      </w:r>
      <w:r>
        <w:rPr>
          <w:rFonts w:hint="eastAsia" w:ascii="宋体" w:hAnsi="宋体"/>
          <w:color w:val="000000"/>
          <w:sz w:val="18"/>
          <w:szCs w:val="18"/>
        </w:rPr>
        <w:t>亿元、</w:t>
      </w:r>
      <w:r>
        <w:rPr>
          <w:rFonts w:ascii="宋体" w:hAnsi="宋体"/>
          <w:color w:val="000000"/>
          <w:sz w:val="18"/>
          <w:szCs w:val="18"/>
        </w:rPr>
        <w:t>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09"/>
        <w:gridCol w:w="1214"/>
        <w:gridCol w:w="12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927" w:hRule="atLeast"/>
          <w:jc w:val="center"/>
        </w:trPr>
        <w:tc>
          <w:tcPr>
            <w:tcW w:w="3809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指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标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营业收入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利润总额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92" w:hRule="atLeast"/>
          <w:jc w:val="center"/>
        </w:trPr>
        <w:tc>
          <w:tcPr>
            <w:tcW w:w="3809" w:type="dxa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工业行业合计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18"/>
                <w:szCs w:val="18"/>
                <w:lang w:bidi="ar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-32.1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煤炭开采和洗选业</w:t>
            </w:r>
          </w:p>
        </w:tc>
        <w:tc>
          <w:tcPr>
            <w:tcW w:w="12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-45.4</w:t>
            </w:r>
          </w:p>
        </w:tc>
        <w:tc>
          <w:tcPr>
            <w:tcW w:w="12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-57.1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黑色金属矿采选业</w:t>
            </w:r>
          </w:p>
        </w:tc>
        <w:tc>
          <w:tcPr>
            <w:tcW w:w="12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-50.0</w:t>
            </w:r>
          </w:p>
        </w:tc>
        <w:tc>
          <w:tcPr>
            <w:tcW w:w="12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有色金属矿采选业</w:t>
            </w:r>
          </w:p>
        </w:tc>
        <w:tc>
          <w:tcPr>
            <w:tcW w:w="12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-33.3</w:t>
            </w:r>
          </w:p>
        </w:tc>
        <w:tc>
          <w:tcPr>
            <w:tcW w:w="12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非金属矿采选业</w:t>
            </w:r>
          </w:p>
        </w:tc>
        <w:tc>
          <w:tcPr>
            <w:tcW w:w="12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43.8</w:t>
            </w:r>
          </w:p>
        </w:tc>
        <w:tc>
          <w:tcPr>
            <w:tcW w:w="12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2" w:hRule="atLeast"/>
          <w:jc w:val="center"/>
        </w:trPr>
        <w:tc>
          <w:tcPr>
            <w:tcW w:w="3809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农副食品加工业</w:t>
            </w:r>
          </w:p>
        </w:tc>
        <w:tc>
          <w:tcPr>
            <w:tcW w:w="1214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63.5</w:t>
            </w:r>
          </w:p>
        </w:tc>
        <w:tc>
          <w:tcPr>
            <w:tcW w:w="1214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食品制造业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-14.3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酒、饮料和精制茶制造业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-40.2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-74.7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纺织业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-45.6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w w:val="90"/>
                <w:sz w:val="18"/>
                <w:szCs w:val="18"/>
              </w:rPr>
              <w:t>皮革、毛皮、羽毛及其制品和制鞋业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2" w:hRule="atLeast"/>
          <w:jc w:val="center"/>
        </w:trPr>
        <w:tc>
          <w:tcPr>
            <w:tcW w:w="3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w w:val="9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w w:val="90"/>
                <w:sz w:val="18"/>
                <w:szCs w:val="18"/>
              </w:rPr>
              <w:t>木材加工和木、竹、藤、棕、草制品业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造纸和纸制品业 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-18.4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印刷和记录媒介复制业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-44.8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石油、煤炭及其他燃料加工业</w:t>
            </w: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5.7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73" w:hRule="atLeast"/>
          <w:jc w:val="center"/>
        </w:trPr>
        <w:tc>
          <w:tcPr>
            <w:tcW w:w="3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化学原料和化学制品制造业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-14.0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13" w:hRule="atLeast"/>
          <w:jc w:val="center"/>
        </w:trPr>
        <w:tc>
          <w:tcPr>
            <w:tcW w:w="38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医药制造业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-27.3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分行业工业企业主要经济指标增速（续）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  <w:szCs w:val="18"/>
        </w:rPr>
        <w:t>单位：%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02"/>
        <w:gridCol w:w="1217"/>
        <w:gridCol w:w="121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888" w:hRule="atLeast"/>
          <w:jc w:val="center"/>
        </w:trPr>
        <w:tc>
          <w:tcPr>
            <w:tcW w:w="3802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指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标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营业收入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利润总额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3" w:hRule="atLeast"/>
          <w:jc w:val="center"/>
        </w:trPr>
        <w:tc>
          <w:tcPr>
            <w:tcW w:w="3802" w:type="dxa"/>
            <w:tcBorders>
              <w:top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化学纤维制造业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-45.0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4" w:hRule="atLeast"/>
          <w:jc w:val="center"/>
        </w:trPr>
        <w:tc>
          <w:tcPr>
            <w:tcW w:w="3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橡胶和塑料制品业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-32.3</w:t>
            </w:r>
          </w:p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4" w:hRule="atLeast"/>
          <w:jc w:val="center"/>
        </w:trPr>
        <w:tc>
          <w:tcPr>
            <w:tcW w:w="3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非金属矿物制品业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-24.3</w:t>
            </w:r>
          </w:p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-57.9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4" w:hRule="atLeast"/>
          <w:jc w:val="center"/>
        </w:trPr>
        <w:tc>
          <w:tcPr>
            <w:tcW w:w="3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黑色金属冶炼和压延加工业 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-8.6</w:t>
            </w:r>
          </w:p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4" w:hRule="atLeast"/>
          <w:jc w:val="center"/>
        </w:trPr>
        <w:tc>
          <w:tcPr>
            <w:tcW w:w="38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有色金属冶炼和压延加工业 </w:t>
            </w:r>
          </w:p>
        </w:tc>
        <w:tc>
          <w:tcPr>
            <w:tcW w:w="12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3" w:hRule="atLeast"/>
          <w:jc w:val="center"/>
        </w:trPr>
        <w:tc>
          <w:tcPr>
            <w:tcW w:w="3802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金属制品业 </w:t>
            </w:r>
          </w:p>
        </w:tc>
        <w:tc>
          <w:tcPr>
            <w:tcW w:w="1217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-31.0</w:t>
            </w:r>
          </w:p>
        </w:tc>
        <w:tc>
          <w:tcPr>
            <w:tcW w:w="1218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4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通用设备制造业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4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专用设备制造业 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-28.7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4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汽车制造业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4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pacing w:val="-6"/>
                <w:w w:val="8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w w:val="80"/>
                <w:kern w:val="0"/>
                <w:sz w:val="18"/>
                <w:szCs w:val="18"/>
                <w:lang w:bidi="ar"/>
              </w:rPr>
              <w:t>铁路、船舶、航空航天和其他运输设备制造业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-20.0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44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电气机械和器材制造业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-39.7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3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18"/>
                <w:szCs w:val="18"/>
                <w:lang w:bidi="ar"/>
              </w:rPr>
              <w:t>计算机、通信和其他电子设备制造业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162.9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-96.1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仪器仪表制造业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200.0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废弃资源综合利用业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-31.2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3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电力、热力生产和供应业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-22.7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-128.7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燃气生产和供应业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38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水的生产和供应业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-150.0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规模以上工业综合能源消费情况（1-3月）</w:t>
      </w:r>
    </w:p>
    <w:p>
      <w:pPr>
        <w:jc w:val="center"/>
        <w:rPr>
          <w:rFonts w:hint="eastAsia" w:ascii="宋体" w:hAnsi="宋体" w:cs="黑体"/>
          <w:color w:val="000000"/>
          <w:sz w:val="18"/>
          <w:szCs w:val="18"/>
        </w:rPr>
      </w:pP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37"/>
        <w:gridCol w:w="1087"/>
        <w:gridCol w:w="1088"/>
        <w:gridCol w:w="855"/>
        <w:gridCol w:w="107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2137" w:type="dxa"/>
            <w:tcBorders>
              <w:top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087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1-本月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增长%</w:t>
            </w:r>
          </w:p>
        </w:tc>
        <w:tc>
          <w:tcPr>
            <w:tcW w:w="1070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ind w:right="120" w:rightChars="57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</w:rPr>
              <w:t>万元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工业</w:t>
            </w:r>
          </w:p>
          <w:p>
            <w:pPr>
              <w:autoSpaceDN w:val="0"/>
              <w:spacing w:line="240" w:lineRule="exact"/>
              <w:ind w:right="120" w:rightChars="57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增加值能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增长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规模以上工业合计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149.06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-16.42 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-15.32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#轻工业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2.88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-31.43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-16.99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重工业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146.18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-16.06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-16.48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#七大高耗能行业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144.33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-16.25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-14.97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 xml:space="preserve">    煤炭开采和洗选业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0.76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-67.30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-76.15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 </w:t>
            </w:r>
            <w:r>
              <w:rPr>
                <w:rFonts w:ascii="宋体" w:hAnsi="宋体"/>
                <w:color w:val="000000"/>
                <w:w w:val="80"/>
                <w:sz w:val="15"/>
                <w:szCs w:val="15"/>
              </w:rPr>
              <w:t>石油加工、炼焦和核燃料加工业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3.25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-49.88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-36.23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/>
                <w:color w:val="000000"/>
                <w:w w:val="80"/>
                <w:sz w:val="15"/>
                <w:szCs w:val="15"/>
              </w:rPr>
              <w:t xml:space="preserve"> </w:t>
            </w:r>
            <w:r>
              <w:rPr>
                <w:rFonts w:ascii="宋体" w:hAnsi="宋体"/>
                <w:color w:val="000000"/>
                <w:w w:val="80"/>
                <w:sz w:val="15"/>
                <w:szCs w:val="15"/>
              </w:rPr>
              <w:t>化学原料和化学制品制造业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7.26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-1.64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0.67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 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非金属矿物制品业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3.91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-11.30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24.25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w w:val="8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w w:val="80"/>
                <w:sz w:val="15"/>
                <w:szCs w:val="15"/>
              </w:rPr>
              <w:t xml:space="preserve">     </w:t>
            </w:r>
            <w:r>
              <w:rPr>
                <w:rFonts w:ascii="宋体" w:hAnsi="宋体"/>
                <w:color w:val="000000"/>
                <w:w w:val="80"/>
                <w:sz w:val="15"/>
                <w:szCs w:val="15"/>
              </w:rPr>
              <w:t>黑色金属冶炼和压延加工业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57.41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8.55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9.96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w w:val="8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w w:val="80"/>
                <w:sz w:val="15"/>
                <w:szCs w:val="15"/>
              </w:rPr>
              <w:t xml:space="preserve">     </w:t>
            </w:r>
            <w:r>
              <w:rPr>
                <w:rFonts w:ascii="宋体" w:hAnsi="宋体"/>
                <w:color w:val="000000"/>
                <w:w w:val="80"/>
                <w:sz w:val="15"/>
                <w:szCs w:val="15"/>
              </w:rPr>
              <w:t>有色金属冶炼和压延加工业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20.78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12.16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0.39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 xml:space="preserve">    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电力、热力生产和供应业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50.96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-36.55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-18.67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#高技术制造业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0.82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-22.18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-62.66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#重点耗能企业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万吨标准煤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146.44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-16.28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主要能源品种消费量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原煤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万吨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149.65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-36.14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电力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万千瓦时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183349.46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-6.74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213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热力</w:t>
            </w:r>
          </w:p>
        </w:tc>
        <w:tc>
          <w:tcPr>
            <w:tcW w:w="108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百万千焦</w:t>
            </w:r>
          </w:p>
        </w:tc>
        <w:tc>
          <w:tcPr>
            <w:tcW w:w="108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791028.26 </w:t>
            </w:r>
          </w:p>
        </w:tc>
        <w:tc>
          <w:tcPr>
            <w:tcW w:w="8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-12.37 </w:t>
            </w:r>
          </w:p>
        </w:tc>
        <w:tc>
          <w:tcPr>
            <w:tcW w:w="107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3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天然气</w:t>
            </w:r>
          </w:p>
        </w:tc>
        <w:tc>
          <w:tcPr>
            <w:tcW w:w="108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万立方米</w:t>
            </w:r>
          </w:p>
        </w:tc>
        <w:tc>
          <w:tcPr>
            <w:tcW w:w="108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5920.86 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39.81 </w:t>
            </w:r>
          </w:p>
        </w:tc>
        <w:tc>
          <w:tcPr>
            <w:tcW w:w="107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</w:tbl>
    <w:p>
      <w:pPr>
        <w:autoSpaceDN w:val="0"/>
        <w:ind w:right="120" w:rightChars="57"/>
        <w:textAlignment w:val="center"/>
        <w:rPr>
          <w:rFonts w:hint="eastAsia"/>
          <w:bCs/>
          <w:color w:val="000000"/>
          <w:sz w:val="18"/>
        </w:rPr>
      </w:pPr>
      <w:r>
        <w:rPr>
          <w:rFonts w:hint="eastAsia" w:ascii="宋体" w:hAnsi="宋体" w:cs="宋体"/>
          <w:b/>
          <w:bCs/>
          <w:color w:val="000000"/>
          <w:sz w:val="18"/>
          <w:szCs w:val="18"/>
        </w:rPr>
        <w:t>注:</w:t>
      </w:r>
      <w:r>
        <w:rPr>
          <w:rFonts w:hint="eastAsia" w:ascii="宋体" w:hAnsi="宋体" w:cs="宋体"/>
          <w:color w:val="000000"/>
          <w:sz w:val="18"/>
          <w:szCs w:val="18"/>
        </w:rPr>
        <w:t>重点耗能企业指年耗能5000吨以上的工业企业</w:t>
      </w: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固定资产投资增长情况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                     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263"/>
        <w:gridCol w:w="297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263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297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同比增长（%）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326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一、投资完成额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其中：工业投资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其中：房地产开发投资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其中：基础设施投资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其中：民间投资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1.按产业分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第一产业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第二产业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第三产业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2.按隶属关系分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中央项目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地方项目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3.按建设性质分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新  建 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扩  建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改建与技术改造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4.按构成分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建筑安装工程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设备工器具购置</w:t>
            </w:r>
          </w:p>
        </w:tc>
        <w:tc>
          <w:tcPr>
            <w:tcW w:w="297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3263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90" w:lineRule="exact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其他费用</w:t>
            </w:r>
          </w:p>
        </w:tc>
        <w:tc>
          <w:tcPr>
            <w:tcW w:w="2974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-0.8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各行业固定资产投资增长情况</w:t>
      </w:r>
    </w:p>
    <w:p>
      <w:pPr>
        <w:wordWrap w:val="0"/>
        <w:ind w:right="72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                             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406"/>
        <w:gridCol w:w="183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4406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同比增长(%)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一、农、林、牧、渔业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畜牧业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二、工业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（一）采矿业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-95.4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（二）制造业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（三）电力热力燃气及水的生产和供应业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-34.6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三、建筑业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四、批发和零售业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五、交通运输、仓储和邮政业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六、住宿和餐饮业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-82.4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七、信息传输、软件和信息技术服务业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八、金融业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九、房地产业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十、租赁和商务服务业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十一、科学研究和技术服务业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十二、水利、环境和公共设施管理业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十三、居民服务、修理和其他服务业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十四、教育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十五、卫生和社会工作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十六、文化、体育和娱乐业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440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十七、公共管理、社会保障和社会组织</w:t>
            </w:r>
          </w:p>
        </w:tc>
        <w:tc>
          <w:tcPr>
            <w:tcW w:w="18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440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十八、国际组织</w:t>
            </w:r>
          </w:p>
        </w:tc>
        <w:tc>
          <w:tcPr>
            <w:tcW w:w="183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－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在建、新开工项目（不含房地产）情况                                                                                   </w:t>
      </w:r>
    </w:p>
    <w:p>
      <w:pPr>
        <w:jc w:val="right"/>
        <w:outlineLvl w:val="0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单位：个、%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800"/>
        <w:gridCol w:w="1695"/>
        <w:gridCol w:w="17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2800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项目数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投资额增长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2800" w:type="dxa"/>
            <w:tcBorders>
              <w:top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在建项目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计划总投资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-27.2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本年完成投资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其中：民间投资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其中：基础设施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其中：亿元以上项目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第一产业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第二产业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第三产业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新开工项目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本年完成投资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其中：民间投资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其中：基础设施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其中：亿元以上项目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第一产业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第二产业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2800" w:type="dxa"/>
            <w:tcBorders>
              <w:top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第三产业 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2" w:type="dxa"/>
            <w:tcBorders>
              <w:top w:val="nil"/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137.9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房地产开发投资</w:t>
      </w:r>
    </w:p>
    <w:p>
      <w:pPr>
        <w:jc w:val="center"/>
        <w:outlineLvl w:val="0"/>
        <w:rPr>
          <w:rFonts w:hint="eastAsia" w:ascii="宋体" w:hAnsi="宋体" w:cs="黑体"/>
          <w:color w:val="000000"/>
          <w:sz w:val="18"/>
          <w:szCs w:val="18"/>
        </w:rPr>
      </w:pPr>
    </w:p>
    <w:tbl>
      <w:tblPr>
        <w:tblStyle w:val="88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43"/>
        <w:gridCol w:w="1061"/>
        <w:gridCol w:w="1437"/>
        <w:gridCol w:w="119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</w:trPr>
        <w:tc>
          <w:tcPr>
            <w:tcW w:w="2543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    标</w:t>
            </w:r>
          </w:p>
        </w:tc>
        <w:tc>
          <w:tcPr>
            <w:tcW w:w="1061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单位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1196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房地产开发投资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万元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41628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#住宅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万元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34312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#商品房销售额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万元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43102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-62.0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其中：住宅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万元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43102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本年购置土地面积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施工面积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2417560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其中：住宅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1924085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其中：新开工面积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232256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       #住宅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158039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#竣工面积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其中：住宅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5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#商品房销售面积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66099</w:t>
            </w:r>
          </w:p>
        </w:tc>
        <w:tc>
          <w:tcPr>
            <w:tcW w:w="11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543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其中：住宅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平方米</w:t>
            </w:r>
          </w:p>
        </w:tc>
        <w:tc>
          <w:tcPr>
            <w:tcW w:w="1437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66099</w:t>
            </w:r>
          </w:p>
        </w:tc>
        <w:tc>
          <w:tcPr>
            <w:tcW w:w="119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-64.4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社会消费品零售总额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单位：万元</w:t>
      </w:r>
      <w:r>
        <w:rPr>
          <w:rFonts w:hint="eastAsia" w:ascii="宋体" w:hAnsi="宋体"/>
          <w:color w:val="000000"/>
          <w:sz w:val="18"/>
        </w:rPr>
        <w:t xml:space="preserve">、%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257"/>
        <w:gridCol w:w="1597"/>
        <w:gridCol w:w="138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257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指    标</w:t>
            </w:r>
          </w:p>
        </w:tc>
        <w:tc>
          <w:tcPr>
            <w:tcW w:w="159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增长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社会消费品零售总额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475671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#批发零售贸易业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住宿和餐饮业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#限上企业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71565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17.2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限下企业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404106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商品零售额分类别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</w:t>
            </w:r>
            <w:r>
              <w:rPr>
                <w:rFonts w:hint="eastAsia" w:ascii="宋体" w:hAnsi="宋体"/>
                <w:color w:val="000000"/>
                <w:sz w:val="18"/>
              </w:rPr>
              <w:t>粮油、食品</w:t>
            </w:r>
            <w:r>
              <w:rPr>
                <w:rFonts w:ascii="宋体" w:hAnsi="宋体"/>
                <w:color w:val="000000"/>
                <w:sz w:val="18"/>
              </w:rPr>
              <w:t>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3718.0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</w:rPr>
              <w:t>饮料类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1519.3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188.7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   烟酒类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服装、鞋帽、针纺织品类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12753.2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化妆品类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818.2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-35.2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金银珠宝类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118.0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-75.2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日用品类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695.9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33.6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体育娱乐用品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书报杂志类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993.6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0"/>
                <w:szCs w:val="10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通讯器材类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155.0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26.2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中西药品类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3324.1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文化办公用品类</w:t>
            </w:r>
          </w:p>
        </w:tc>
        <w:tc>
          <w:tcPr>
            <w:tcW w:w="159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429.4</w:t>
            </w:r>
          </w:p>
        </w:tc>
        <w:tc>
          <w:tcPr>
            <w:tcW w:w="13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家具类</w:t>
            </w:r>
          </w:p>
        </w:tc>
        <w:tc>
          <w:tcPr>
            <w:tcW w:w="1597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1383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-22.8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石油类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17598.5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32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70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汽车类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23987.6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33.2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财政、金融</w:t>
      </w:r>
    </w:p>
    <w:p>
      <w:pPr>
        <w:wordWrap w:val="0"/>
        <w:jc w:val="right"/>
        <w:rPr>
          <w:rFonts w:hint="eastAsia"/>
          <w:color w:val="000000"/>
        </w:rPr>
      </w:pPr>
      <w:r>
        <w:rPr>
          <w:rFonts w:ascii="宋体" w:hAnsi="宋体"/>
          <w:color w:val="000000"/>
          <w:sz w:val="18"/>
        </w:rPr>
        <w:t>单位：</w:t>
      </w:r>
      <w:r>
        <w:rPr>
          <w:rFonts w:hint="eastAsia" w:ascii="宋体" w:hAnsi="宋体"/>
          <w:color w:val="000000"/>
          <w:sz w:val="18"/>
        </w:rPr>
        <w:t>万</w:t>
      </w:r>
      <w:r>
        <w:rPr>
          <w:rFonts w:ascii="宋体" w:hAnsi="宋体"/>
          <w:color w:val="000000"/>
          <w:sz w:val="18"/>
        </w:rPr>
        <w:t>元</w:t>
      </w:r>
      <w:r>
        <w:rPr>
          <w:rFonts w:hint="eastAsia" w:ascii="宋体" w:hAnsi="宋体"/>
          <w:color w:val="000000"/>
          <w:sz w:val="18"/>
        </w:rPr>
        <w:t xml:space="preserve">、%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3"/>
        <w:gridCol w:w="2492"/>
        <w:gridCol w:w="1252"/>
        <w:gridCol w:w="1252"/>
        <w:gridCol w:w="102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705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指   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</w:rPr>
              <w:t xml:space="preserve"> 标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本月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地方财政总收入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99961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296933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地方财政收入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68224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207409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-7.5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　</w:t>
            </w:r>
            <w:r>
              <w:rPr>
                <w:rFonts w:hint="eastAsia" w:ascii="宋体" w:hAnsi="宋体"/>
                <w:color w:val="000000"/>
                <w:sz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</w:rPr>
              <w:t>公共预算收入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63034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192642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增值税(</w:t>
            </w:r>
            <w:r>
              <w:rPr>
                <w:rFonts w:hint="eastAsia" w:ascii="宋体" w:hAnsi="宋体"/>
                <w:color w:val="000000"/>
                <w:sz w:val="18"/>
              </w:rPr>
              <w:t>含改征</w:t>
            </w:r>
            <w:r>
              <w:rPr>
                <w:rFonts w:ascii="宋体" w:hAnsi="宋体"/>
                <w:color w:val="000000"/>
                <w:sz w:val="18"/>
              </w:rPr>
              <w:t>)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26317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67138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企业所得税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5872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16841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个人所得税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3621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-17.4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城市维护建设税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1945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10065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-29.5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　政府性基金收入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5190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14767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-38.7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地方财政支出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85835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391690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　</w:t>
            </w:r>
            <w:r>
              <w:rPr>
                <w:rFonts w:hint="eastAsia" w:ascii="宋体" w:hAnsi="宋体"/>
                <w:color w:val="000000"/>
                <w:sz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</w:rPr>
              <w:t>公共预算支出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75391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304981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一般公共服务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5005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41763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教育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6438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53999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科学技术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2483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6920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社会保障与就业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5661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41668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</w:rPr>
              <w:t>卫生健康支出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2443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28840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</w:rPr>
              <w:t>节能环保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1851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6738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57.6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 农林水</w:t>
            </w:r>
            <w:r>
              <w:rPr>
                <w:rFonts w:hint="eastAsia" w:ascii="宋体" w:hAnsi="宋体"/>
                <w:color w:val="000000"/>
                <w:sz w:val="18"/>
              </w:rPr>
              <w:t>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13894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29782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　政府性基金支出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10444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86709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金融机构存款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月末</w:t>
            </w:r>
            <w:r>
              <w:rPr>
                <w:rFonts w:ascii="宋体" w:hAnsi="宋体"/>
                <w:b/>
                <w:bCs/>
                <w:color w:val="000000"/>
                <w:sz w:val="18"/>
              </w:rPr>
              <w:t>余额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5572946.3 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9.0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</w:t>
            </w:r>
            <w:r>
              <w:rPr>
                <w:rFonts w:hint="eastAsia" w:ascii="宋体" w:hAnsi="宋体"/>
                <w:color w:val="000000"/>
                <w:sz w:val="18"/>
              </w:rPr>
              <w:t>住户存款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3575017.1 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金融机构贷款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</w:rPr>
              <w:t>月末</w:t>
            </w:r>
            <w:r>
              <w:rPr>
                <w:rFonts w:ascii="宋体" w:hAnsi="宋体"/>
                <w:b/>
                <w:bCs/>
                <w:color w:val="000000"/>
                <w:sz w:val="18"/>
              </w:rPr>
              <w:t>余额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3579394.2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15.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3" w:type="dxa"/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#</w:t>
            </w:r>
            <w:r>
              <w:rPr>
                <w:rFonts w:hint="eastAsia" w:ascii="宋体" w:hAnsi="宋体"/>
                <w:color w:val="000000"/>
                <w:sz w:val="18"/>
              </w:rPr>
              <w:t>住户</w:t>
            </w:r>
            <w:r>
              <w:rPr>
                <w:rFonts w:ascii="宋体" w:hAnsi="宋体"/>
                <w:color w:val="000000"/>
                <w:sz w:val="18"/>
              </w:rPr>
              <w:t>贷款</w:t>
            </w:r>
          </w:p>
        </w:tc>
        <w:tc>
          <w:tcPr>
            <w:tcW w:w="12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1180342.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2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18.0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21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92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35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w w:val="90"/>
                <w:sz w:val="18"/>
              </w:rPr>
              <w:t>企（事）业贷款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2399051.5 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－</w:t>
            </w:r>
          </w:p>
        </w:tc>
        <w:tc>
          <w:tcPr>
            <w:tcW w:w="102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3.6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物    价</w:t>
      </w:r>
    </w:p>
    <w:p>
      <w:pPr>
        <w:jc w:val="center"/>
        <w:rPr>
          <w:rFonts w:hint="eastAsia"/>
          <w:color w:val="000000"/>
        </w:rPr>
      </w:pP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6"/>
        <w:gridCol w:w="2879"/>
        <w:gridCol w:w="1640"/>
        <w:gridCol w:w="15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3055" w:type="dxa"/>
            <w:gridSpan w:val="2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指      标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环比 %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累计比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7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879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居民消费价格总指数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99.2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103.0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食品</w:t>
            </w:r>
            <w:r>
              <w:rPr>
                <w:rFonts w:hint="eastAsia" w:ascii="宋体" w:hAnsi="宋体"/>
                <w:color w:val="000000"/>
                <w:sz w:val="18"/>
              </w:rPr>
              <w:t>烟酒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98.2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112.1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衣着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100.1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居住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100.1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生活用品及服务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99.9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交通和通信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99.5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教育文化和娱乐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99.9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医疗保健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98.5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其他用品和服务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商品零售价格总指数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99.1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101.2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食品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97.8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饮料、烟酒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101.9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服装、鞋帽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纺织品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家用电器及音像器材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99.6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文化办公用品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99.4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日用品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99.9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103.9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体育娱乐用品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95.4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交通、通信用品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99.9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97.4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家具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化妆品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100.1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金银珠宝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中西药品及医疗保健用品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97.0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书报杂志及电子出版</w:t>
            </w:r>
            <w:r>
              <w:rPr>
                <w:rFonts w:hint="eastAsia" w:ascii="宋体" w:hAnsi="宋体"/>
                <w:color w:val="000000"/>
                <w:sz w:val="18"/>
              </w:rPr>
              <w:t>物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燃料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99.3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7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 xml:space="preserve">  建筑材料及五金电料</w:t>
            </w:r>
          </w:p>
        </w:tc>
        <w:tc>
          <w:tcPr>
            <w:tcW w:w="164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99.8</w:t>
            </w:r>
          </w:p>
        </w:tc>
        <w:tc>
          <w:tcPr>
            <w:tcW w:w="15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7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</w:p>
        </w:tc>
        <w:tc>
          <w:tcPr>
            <w:tcW w:w="2879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农业生产资料价格指数</w:t>
            </w:r>
          </w:p>
        </w:tc>
        <w:tc>
          <w:tcPr>
            <w:tcW w:w="164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99.3</w:t>
            </w:r>
          </w:p>
        </w:tc>
        <w:tc>
          <w:tcPr>
            <w:tcW w:w="154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110.6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分镇、街道工业增加值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  <w:szCs w:val="18"/>
        </w:rPr>
        <w:t>单位:%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12"/>
        <w:gridCol w:w="2174"/>
        <w:gridCol w:w="185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exact"/>
          <w:jc w:val="center"/>
        </w:trPr>
        <w:tc>
          <w:tcPr>
            <w:tcW w:w="2212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镇、街道</w:t>
            </w:r>
          </w:p>
        </w:tc>
        <w:tc>
          <w:tcPr>
            <w:tcW w:w="217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当月增长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累计增长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沁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园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10.9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济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水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25.2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北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海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13.8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-10.7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天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坛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18.6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玉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泉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23.4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-9.5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克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井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8.1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-28.5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五龙口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14.6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轵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城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-2.2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-15.0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承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留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13.3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邵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原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12.5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坡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头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28.9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梨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林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9.6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-10.2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大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峪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15.5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思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礼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11.8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221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王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屋</w:t>
            </w:r>
          </w:p>
        </w:tc>
        <w:tc>
          <w:tcPr>
            <w:tcW w:w="217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-10.1 </w:t>
            </w:r>
          </w:p>
        </w:tc>
        <w:tc>
          <w:tcPr>
            <w:tcW w:w="18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2212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76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下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>冶</w:t>
            </w:r>
          </w:p>
        </w:tc>
        <w:tc>
          <w:tcPr>
            <w:tcW w:w="217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26.8 </w:t>
            </w:r>
          </w:p>
        </w:tc>
        <w:tc>
          <w:tcPr>
            <w:tcW w:w="185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1.3 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分镇、街道工业企业效益增速（1-3月）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单位：个</w:t>
      </w:r>
      <w:r>
        <w:rPr>
          <w:rFonts w:hint="eastAsia" w:ascii="宋体" w:hAnsi="宋体"/>
          <w:color w:val="000000"/>
          <w:sz w:val="18"/>
        </w:rPr>
        <w:t>、</w:t>
      </w:r>
      <w:r>
        <w:rPr>
          <w:rFonts w:ascii="宋体" w:hAnsi="宋体"/>
          <w:color w:val="000000"/>
          <w:sz w:val="18"/>
        </w:rPr>
        <w:t>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47"/>
        <w:gridCol w:w="1247"/>
        <w:gridCol w:w="1247"/>
        <w:gridCol w:w="1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07" w:hRule="atLeast"/>
        </w:trPr>
        <w:tc>
          <w:tcPr>
            <w:tcW w:w="12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镇、街道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企业数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#亏损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营业收入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增长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利润总额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增长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合  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184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65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2.5 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-16.1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沁  园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20.5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-43.8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济  水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-30.4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北  海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-8.2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天  坛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17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-21.7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-50.0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玉  泉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-27.8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-33.3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  井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26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-45.3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-8.3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五龙口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17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-42.3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轵  城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19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12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-20.3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-33.3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承  留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26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-5.1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-75.0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邵  原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-46.9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2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坡  头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-34.5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3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梨  林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-4.8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大  峪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-21.6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-450.0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思  礼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14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29.7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-5.4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4" w:hRule="atLeast"/>
        </w:trPr>
        <w:tc>
          <w:tcPr>
            <w:tcW w:w="12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王  屋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133.3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200.0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4" w:hRule="atLeast"/>
        </w:trPr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下  冶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 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-4.7 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-12.9 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分镇、街道综合能源消费量（1-3月）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单位:吨标准煤、%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96"/>
        <w:gridCol w:w="2163"/>
        <w:gridCol w:w="187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190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镇、街道</w:t>
            </w:r>
          </w:p>
        </w:tc>
        <w:tc>
          <w:tcPr>
            <w:tcW w:w="215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综合能源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消费量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增加值能耗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降低率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沁  园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6.7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济  水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北  海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-43.0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天  坛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9963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5.2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玉  泉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1494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克  井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30807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五龙口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2931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轵  城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15292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-19.8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承  留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46994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邵  原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-34.4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坡  头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梨  林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-25.0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大  峪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-23.0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思  礼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36859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-21.1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219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王  屋</w:t>
            </w:r>
          </w:p>
        </w:tc>
        <w:tc>
          <w:tcPr>
            <w:tcW w:w="215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7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190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1126"/>
                <w:tab w:val="right" w:pos="2132"/>
              </w:tabs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ab/>
            </w:r>
            <w:r>
              <w:rPr>
                <w:rFonts w:ascii="宋体" w:hAnsi="宋体"/>
                <w:color w:val="000000"/>
                <w:sz w:val="18"/>
              </w:rPr>
              <w:t>下  冶</w:t>
            </w:r>
          </w:p>
        </w:tc>
        <w:tc>
          <w:tcPr>
            <w:tcW w:w="215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826</w:t>
            </w:r>
          </w:p>
        </w:tc>
        <w:tc>
          <w:tcPr>
            <w:tcW w:w="187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8.3 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分镇、街道固定资产投资增速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18"/>
        </w:rPr>
        <w:t xml:space="preserve">单位:%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495"/>
        <w:gridCol w:w="274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349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镇、街道</w:t>
            </w:r>
          </w:p>
        </w:tc>
        <w:tc>
          <w:tcPr>
            <w:tcW w:w="2742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1-本月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349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示范区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-5.9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沁  园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-35.3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济  水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北  海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-15.6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天  坛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-47.3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玉  泉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39.9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克  井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-28.8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五龙口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30.5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轵  城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18.1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承  留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22.4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邵  原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-12.4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坡  头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-54.7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梨  林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大  峪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8.0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思  礼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-12.4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王  屋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-9.1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下  冶</w:t>
            </w:r>
          </w:p>
        </w:tc>
        <w:tc>
          <w:tcPr>
            <w:tcW w:w="2742" w:type="dxa"/>
            <w:tcBorders>
              <w:top w:val="nil"/>
              <w:left w:val="single" w:color="000000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22.8 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分镇、街道财政预算收支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18"/>
        </w:rPr>
        <w:t xml:space="preserve">单位:万元、% </w:t>
      </w:r>
    </w:p>
    <w:tbl>
      <w:tblPr>
        <w:tblStyle w:val="88"/>
        <w:tblW w:w="6237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72"/>
        <w:gridCol w:w="1167"/>
        <w:gridCol w:w="916"/>
        <w:gridCol w:w="1031"/>
        <w:gridCol w:w="95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</w:trPr>
        <w:tc>
          <w:tcPr>
            <w:tcW w:w="2172" w:type="dxa"/>
            <w:vMerge w:val="restart"/>
            <w:tcBorders>
              <w:top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镇、街道</w:t>
            </w:r>
          </w:p>
        </w:tc>
        <w:tc>
          <w:tcPr>
            <w:tcW w:w="2083" w:type="dxa"/>
            <w:gridSpan w:val="2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预算收入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预算支出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</w:trPr>
        <w:tc>
          <w:tcPr>
            <w:tcW w:w="217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增长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1-本月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增长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合  计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192642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304981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市  级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133109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8.4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246228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镇(街道)小计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59533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-23.1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58753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济  水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2230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-60.4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2174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天  坛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3444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2118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沁  园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4718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-24.5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2698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北  海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12566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-13.1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14335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玉  泉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5384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-6.6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3152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-31.2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克  井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2139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-18.7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2133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五龙口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3260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1825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轵  城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-48.5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1625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承  留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5540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-34.3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6080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思  礼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4808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-38.4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3075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梨  林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889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-22.8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2456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坡  头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854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1837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大  峪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-31.5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1481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王  屋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-51.2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2503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下  冶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1609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邵  原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1189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66.3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2408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2172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5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虎岭（高新）开发区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6667</w:t>
            </w:r>
          </w:p>
        </w:tc>
        <w:tc>
          <w:tcPr>
            <w:tcW w:w="9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-13.5</w:t>
            </w:r>
          </w:p>
        </w:tc>
        <w:tc>
          <w:tcPr>
            <w:tcW w:w="103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5738</w:t>
            </w:r>
          </w:p>
        </w:tc>
        <w:tc>
          <w:tcPr>
            <w:tcW w:w="95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108.4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4" w:hRule="atLeast"/>
        </w:trPr>
        <w:tc>
          <w:tcPr>
            <w:tcW w:w="217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5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玉川产业集聚区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1841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-10.0</w:t>
            </w: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1506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221.8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产业集聚区主要指标完成情况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  <w:szCs w:val="18"/>
        </w:rPr>
        <w:t>单位：亿元</w:t>
      </w:r>
      <w:r>
        <w:rPr>
          <w:rFonts w:hint="eastAsia" w:ascii="宋体" w:hAnsi="宋体"/>
          <w:color w:val="000000"/>
          <w:sz w:val="18"/>
          <w:szCs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55"/>
        <w:gridCol w:w="1066"/>
        <w:gridCol w:w="1134"/>
        <w:gridCol w:w="1197"/>
        <w:gridCol w:w="9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2921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虎岭（高新）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玉川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营业收入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（1-3月）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-9.9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-1.8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-23.5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利润总额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（1-3月）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－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－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-30.1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-10.0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-124.4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总产值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324.1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183.2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140.9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-2.3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-14.0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增加值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61.3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35.8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-2.6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5.6</w:t>
            </w:r>
          </w:p>
        </w:tc>
        <w:tc>
          <w:tcPr>
            <w:tcW w:w="98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-13.2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固定资产投资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增长%</w:t>
            </w:r>
          </w:p>
        </w:tc>
        <w:tc>
          <w:tcPr>
            <w:tcW w:w="1134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-7.9</w:t>
            </w:r>
          </w:p>
        </w:tc>
        <w:tc>
          <w:tcPr>
            <w:tcW w:w="1197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-4.5</w:t>
            </w:r>
          </w:p>
        </w:tc>
        <w:tc>
          <w:tcPr>
            <w:tcW w:w="985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-13.2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施工项目（个）</w:t>
            </w:r>
          </w:p>
        </w:tc>
        <w:tc>
          <w:tcPr>
            <w:tcW w:w="1066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完成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73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30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分省辖市地区生产总值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单位:亿元、%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39"/>
        <w:gridCol w:w="960"/>
        <w:gridCol w:w="738"/>
        <w:gridCol w:w="723"/>
        <w:gridCol w:w="890"/>
        <w:gridCol w:w="826"/>
        <w:gridCol w:w="76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3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421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生产总值（一季度）</w:t>
            </w:r>
          </w:p>
        </w:tc>
        <w:tc>
          <w:tcPr>
            <w:tcW w:w="2477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三次产业增速（一季度）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39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绝对值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一产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二产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三产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11510.15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-6.7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-9.7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-8.1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-4.9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2469.77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-10.3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495.50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-6.6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-9.1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-9.8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1100.56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-9.7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-7.5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514.03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-7.3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-9.9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475.62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-10.6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211.24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-14.1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-6.0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616.29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-10.7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-7.2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590.54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-6.0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313.90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-14.4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721.10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-8.8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336.53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-8.4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-12.6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-8.1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298.49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-8.8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-6.3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804.79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-8.0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-9.2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-9.5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603.57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-8.6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542.59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-9.9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-10.9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-13.2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666.58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-5.1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-9.0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-7.2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3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595.53</w:t>
            </w:r>
          </w:p>
        </w:tc>
        <w:tc>
          <w:tcPr>
            <w:tcW w:w="7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9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  <w:tc>
          <w:tcPr>
            <w:tcW w:w="82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  <w:tc>
          <w:tcPr>
            <w:tcW w:w="76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9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154.25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  <w:tc>
          <w:tcPr>
            <w:tcW w:w="72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9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-13.3</w:t>
            </w:r>
          </w:p>
        </w:tc>
        <w:tc>
          <w:tcPr>
            <w:tcW w:w="82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  <w:tc>
          <w:tcPr>
            <w:tcW w:w="76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分省辖市工业增加值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ascii="宋体" w:hAnsi="宋体"/>
          <w:color w:val="000000"/>
          <w:sz w:val="18"/>
        </w:rPr>
        <w:t>单位:%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98"/>
        <w:gridCol w:w="1112"/>
        <w:gridCol w:w="1112"/>
        <w:gridCol w:w="1109"/>
        <w:gridCol w:w="110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9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地  区</w:t>
            </w:r>
          </w:p>
        </w:tc>
        <w:tc>
          <w:tcPr>
            <w:tcW w:w="4439" w:type="dxa"/>
            <w:gridSpan w:val="4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工业增加值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98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当月</w:t>
            </w: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累计增长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6.6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-5.6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5.7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6.3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6.2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6.8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6.6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7.2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8.9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6.2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111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6.6</w:t>
            </w:r>
          </w:p>
        </w:tc>
        <w:tc>
          <w:tcPr>
            <w:tcW w:w="11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  <w:tc>
          <w:tcPr>
            <w:tcW w:w="110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798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1112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  <w:tc>
          <w:tcPr>
            <w:tcW w:w="111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09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10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</w:tbl>
    <w:p>
      <w:pPr>
        <w:outlineLvl w:val="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注：省辖市数据（包含直管县）</w:t>
      </w: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分省辖市社会消费品零售总额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ascii="宋体" w:hAnsi="宋体"/>
          <w:color w:val="000000"/>
          <w:sz w:val="18"/>
        </w:rPr>
        <w:t>单位:亿元、%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26"/>
        <w:gridCol w:w="877"/>
        <w:gridCol w:w="878"/>
        <w:gridCol w:w="701"/>
        <w:gridCol w:w="874"/>
        <w:gridCol w:w="875"/>
        <w:gridCol w:w="70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地  区</w:t>
            </w:r>
          </w:p>
        </w:tc>
        <w:tc>
          <w:tcPr>
            <w:tcW w:w="4911" w:type="dxa"/>
            <w:gridSpan w:val="6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 xml:space="preserve">   社会消费品零售总额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32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本月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1-本月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1766.6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6313.3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-17.4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399.9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1441.2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-17.5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87.8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-15.8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173.5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566.1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-16.7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72.1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272.9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-20.3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65.7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230.1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-18.7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20.5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73.3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-18.5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72.3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262.9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-16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70.7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249.3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-16.5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46.7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176.2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-20.9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90.4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364.3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-17.6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182.4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-20.2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38.1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139.7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-17.8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143.5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525.8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-19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107.9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391.3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-15.4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94.3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309.6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-18.9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129.1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466.1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-14.9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86.1</w:t>
            </w:r>
          </w:p>
        </w:tc>
        <w:tc>
          <w:tcPr>
            <w:tcW w:w="878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  <w:tc>
          <w:tcPr>
            <w:tcW w:w="701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74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294.5</w:t>
            </w:r>
          </w:p>
        </w:tc>
        <w:tc>
          <w:tcPr>
            <w:tcW w:w="875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</w:t>
            </w:r>
          </w:p>
        </w:tc>
        <w:tc>
          <w:tcPr>
            <w:tcW w:w="706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tcBorders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87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13.9</w:t>
            </w:r>
          </w:p>
        </w:tc>
        <w:tc>
          <w:tcPr>
            <w:tcW w:w="878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  <w:tc>
          <w:tcPr>
            <w:tcW w:w="701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74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47.6</w:t>
            </w:r>
          </w:p>
        </w:tc>
        <w:tc>
          <w:tcPr>
            <w:tcW w:w="875" w:type="dxa"/>
            <w:tcBorders>
              <w:left w:val="single" w:color="000000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-16.7</w:t>
            </w:r>
          </w:p>
        </w:tc>
        <w:tc>
          <w:tcPr>
            <w:tcW w:w="706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</w:tbl>
    <w:p>
      <w:pPr>
        <w:outlineLvl w:val="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注：省辖市数据（包含直管县）</w:t>
      </w: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分省辖市综合能源消费量（1-3月）</w:t>
      </w:r>
    </w:p>
    <w:p>
      <w:pPr>
        <w:wordWrap w:val="0"/>
        <w:jc w:val="right"/>
        <w:rPr>
          <w:rFonts w:hint="eastAsia"/>
          <w:color w:val="000000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万</w:t>
      </w:r>
      <w:r>
        <w:rPr>
          <w:rFonts w:ascii="宋体" w:hAnsi="宋体"/>
          <w:color w:val="000000"/>
          <w:sz w:val="18"/>
        </w:rPr>
        <w:t>吨标准煤、%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0"/>
        <w:gridCol w:w="1213"/>
        <w:gridCol w:w="920"/>
        <w:gridCol w:w="1338"/>
        <w:gridCol w:w="10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7" w:hRule="exact"/>
          <w:jc w:val="center"/>
        </w:trPr>
        <w:tc>
          <w:tcPr>
            <w:tcW w:w="1750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地  区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综合能源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消费量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增长</w:t>
            </w:r>
          </w:p>
        </w:tc>
        <w:tc>
          <w:tcPr>
            <w:tcW w:w="1338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增加值能耗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降低率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降低率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2849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313.31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7.97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69.71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-35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-28.93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303.85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-7.01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249.03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-9.5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-8.63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330.03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6.63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94.37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22.8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29.56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206.18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-9.2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-4.12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212.72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-9.4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-4.43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126.93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-2.52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88.78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49.47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3.41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140.12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-32.9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-29.71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131.44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-21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-14.44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164.34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-8.6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-1.95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86.82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-11.5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37.51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-13.7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-7.31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95.33</w:t>
            </w:r>
          </w:p>
        </w:tc>
        <w:tc>
          <w:tcPr>
            <w:tcW w:w="92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-12.1</w:t>
            </w:r>
          </w:p>
        </w:tc>
        <w:tc>
          <w:tcPr>
            <w:tcW w:w="13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-7.82</w:t>
            </w:r>
          </w:p>
        </w:tc>
        <w:tc>
          <w:tcPr>
            <w:tcW w:w="10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50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149.06</w:t>
            </w:r>
          </w:p>
        </w:tc>
        <w:tc>
          <w:tcPr>
            <w:tcW w:w="92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-16.4</w:t>
            </w:r>
          </w:p>
        </w:tc>
        <w:tc>
          <w:tcPr>
            <w:tcW w:w="133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-15.32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分省辖市全社会用电量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亿千瓦时、</w:t>
      </w:r>
      <w:r>
        <w:rPr>
          <w:rFonts w:ascii="宋体" w:hAnsi="宋体"/>
          <w:color w:val="000000"/>
          <w:sz w:val="18"/>
        </w:rPr>
        <w:t>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02"/>
        <w:gridCol w:w="802"/>
        <w:gridCol w:w="802"/>
        <w:gridCol w:w="802"/>
        <w:gridCol w:w="802"/>
        <w:gridCol w:w="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名  称</w:t>
            </w:r>
          </w:p>
        </w:tc>
        <w:tc>
          <w:tcPr>
            <w:tcW w:w="4619" w:type="dxa"/>
            <w:gridSpan w:val="6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全社会用电量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同比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位次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累计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同比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249.8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1000.9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37.3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162.7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32.9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124.9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-15.8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15.9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61.9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15.6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20.3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76.4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17.6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72.3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11.2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36.3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41.9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23.6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32.7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-34.4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17.8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74.6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12.2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52.9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-23.6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43.1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45.2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7.6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28.2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-7.0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分省辖市工业用电量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00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亿千瓦时、</w:t>
      </w:r>
      <w:r>
        <w:rPr>
          <w:rFonts w:ascii="宋体" w:hAnsi="宋体"/>
          <w:color w:val="000000"/>
          <w:sz w:val="18"/>
        </w:rPr>
        <w:t>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02"/>
        <w:gridCol w:w="802"/>
        <w:gridCol w:w="802"/>
        <w:gridCol w:w="802"/>
        <w:gridCol w:w="802"/>
        <w:gridCol w:w="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60" w:type="dxa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名  称</w:t>
            </w:r>
          </w:p>
        </w:tc>
        <w:tc>
          <w:tcPr>
            <w:tcW w:w="4619" w:type="dxa"/>
            <w:gridSpan w:val="6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工业用电量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同比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位次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累计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同比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6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159.2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563.4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-16.1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74.4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-16.9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-25.9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-22.3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-17.7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-12.9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-10.0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-12.4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44.5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-13.6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54.6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-10.5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-13.4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-11.4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21.0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-44.3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34.5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-15.1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-25.1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-46.2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-18.6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-17.8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5.1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-9.8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-18.0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6.9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24.5</w:t>
            </w:r>
          </w:p>
        </w:tc>
        <w:tc>
          <w:tcPr>
            <w:tcW w:w="7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-7.6</w:t>
            </w: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分省辖市固定资产投资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69"/>
        <w:gridCol w:w="1300"/>
        <w:gridCol w:w="1095"/>
        <w:gridCol w:w="1213"/>
        <w:gridCol w:w="96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669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固定资产投资</w:t>
            </w:r>
          </w:p>
        </w:tc>
        <w:tc>
          <w:tcPr>
            <w:tcW w:w="21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#房地产投资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全  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郑  州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开  封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洛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平顶山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-10.4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安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20.7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鹤  壁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新  乡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焦  作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濮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许  昌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-17.2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漯  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19.4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三门峡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南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商  丘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信  阳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周  口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669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驻马店</w:t>
            </w:r>
          </w:p>
        </w:tc>
        <w:tc>
          <w:tcPr>
            <w:tcW w:w="13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1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  <w:tc>
          <w:tcPr>
            <w:tcW w:w="960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73" w:hRule="atLeast"/>
          <w:jc w:val="center"/>
        </w:trPr>
        <w:tc>
          <w:tcPr>
            <w:tcW w:w="1669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济  源</w:t>
            </w:r>
          </w:p>
        </w:tc>
        <w:tc>
          <w:tcPr>
            <w:tcW w:w="1300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1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9.4</w:t>
            </w:r>
          </w:p>
        </w:tc>
        <w:tc>
          <w:tcPr>
            <w:tcW w:w="960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分省辖市居民人均可支配收入（一季度）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36"/>
        <w:gridCol w:w="915"/>
        <w:gridCol w:w="765"/>
        <w:gridCol w:w="723"/>
        <w:gridCol w:w="896"/>
        <w:gridCol w:w="764"/>
        <w:gridCol w:w="73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403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城镇居民</w:t>
            </w:r>
          </w:p>
        </w:tc>
        <w:tc>
          <w:tcPr>
            <w:tcW w:w="2398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农村居民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一季度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一季度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9088.2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0.8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3939.9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4.3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10836.5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0.9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7317.3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3.7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7668.5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1.0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3597.1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4.6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10129.9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1.0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4325.8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4.4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9360.3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0.8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3583.2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4.4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8640.5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0.4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4169.6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3.5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8641.1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0.9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3971.3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4.1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8803.6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0.7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3991.0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4.3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9200.5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1.1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5603.6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4.6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8624.5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0.4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3174.8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4.7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9672.7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0.8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4005.4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4.6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8767.5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0.8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4127.9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4.9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8888.4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1.0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4009.0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5.0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8872.4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0.2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3559.8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3.2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8752.1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1.1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3310.7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5.3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8424.6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0.5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3596.6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4.3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7807.8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0.6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3308.6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4.3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9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8566.4 </w:t>
            </w:r>
          </w:p>
        </w:tc>
        <w:tc>
          <w:tcPr>
            <w:tcW w:w="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1.3 </w:t>
            </w:r>
          </w:p>
        </w:tc>
        <w:tc>
          <w:tcPr>
            <w:tcW w:w="72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3461.4 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4.7 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7" w:hRule="atLeast"/>
          <w:jc w:val="center"/>
        </w:trPr>
        <w:tc>
          <w:tcPr>
            <w:tcW w:w="143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9270.3 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1.2 </w:t>
            </w:r>
          </w:p>
        </w:tc>
        <w:tc>
          <w:tcPr>
            <w:tcW w:w="72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9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7005.3 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4.8 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分省辖市建筑业总产值、商品房销售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单位:亿元、</w:t>
      </w:r>
      <w:r>
        <w:rPr>
          <w:rFonts w:hint="eastAsia" w:ascii="宋体" w:hAnsi="宋体"/>
          <w:color w:val="000000"/>
          <w:sz w:val="18"/>
        </w:rPr>
        <w:t>万平方米、</w:t>
      </w:r>
      <w:r>
        <w:rPr>
          <w:rFonts w:ascii="宋体" w:hAnsi="宋体"/>
          <w:color w:val="000000"/>
          <w:sz w:val="18"/>
        </w:rPr>
        <w:t>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36"/>
        <w:gridCol w:w="922"/>
        <w:gridCol w:w="778"/>
        <w:gridCol w:w="703"/>
        <w:gridCol w:w="896"/>
        <w:gridCol w:w="764"/>
        <w:gridCol w:w="73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403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建筑业总产值（一季度）</w:t>
            </w:r>
          </w:p>
        </w:tc>
        <w:tc>
          <w:tcPr>
            <w:tcW w:w="2398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商品房销售面积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5" w:hRule="exact"/>
          <w:jc w:val="center"/>
        </w:trPr>
        <w:tc>
          <w:tcPr>
            <w:tcW w:w="143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1-本季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1-本月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2144.71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-7.6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2635.45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-14.2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695.82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-9.0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547.16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-33.2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90.06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-11.8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98.62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-14.0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201.62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5.1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221.91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30.65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-23.2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91.05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-11.9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225.38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-7.6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147.19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11.4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15.39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51.71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163.03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-7.2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141.87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-16.8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20.6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45.01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45.0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-19.5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88.70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-5.5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24.4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-30.5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93.57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-26.9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20.3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-16.9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53.88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6.0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38.7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47.84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102.2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-13.0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145.31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-23.6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98.4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-12.3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244.37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-7.0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112.4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-11.5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192.96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-6.3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115.6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159.77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8.3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134.0</w:t>
            </w:r>
          </w:p>
        </w:tc>
        <w:tc>
          <w:tcPr>
            <w:tcW w:w="77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6.9</w:t>
            </w:r>
          </w:p>
        </w:tc>
        <w:tc>
          <w:tcPr>
            <w:tcW w:w="70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9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257.92</w:t>
            </w:r>
          </w:p>
        </w:tc>
        <w:tc>
          <w:tcPr>
            <w:tcW w:w="76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-5.0</w:t>
            </w:r>
          </w:p>
        </w:tc>
        <w:tc>
          <w:tcPr>
            <w:tcW w:w="73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87" w:hRule="atLeast"/>
          <w:jc w:val="center"/>
        </w:trPr>
        <w:tc>
          <w:tcPr>
            <w:tcW w:w="1436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922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11.4</w:t>
            </w:r>
          </w:p>
        </w:tc>
        <w:tc>
          <w:tcPr>
            <w:tcW w:w="778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-21.7</w:t>
            </w:r>
          </w:p>
        </w:tc>
        <w:tc>
          <w:tcPr>
            <w:tcW w:w="703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9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6.61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-71.1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  <w:color w:val="000000"/>
        </w:rPr>
      </w:pP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分省辖市进出口总值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亿</w:t>
      </w:r>
      <w:r>
        <w:rPr>
          <w:rFonts w:ascii="宋体" w:hAnsi="宋体"/>
          <w:color w:val="000000"/>
          <w:sz w:val="18"/>
        </w:rPr>
        <w:t>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68"/>
        <w:gridCol w:w="924"/>
        <w:gridCol w:w="805"/>
        <w:gridCol w:w="605"/>
        <w:gridCol w:w="935"/>
        <w:gridCol w:w="805"/>
        <w:gridCol w:w="59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68" w:type="dxa"/>
            <w:vMerge w:val="restart"/>
            <w:tcBorders>
              <w:top w:val="single" w:color="auto" w:sz="8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334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进出口总值</w:t>
            </w:r>
          </w:p>
        </w:tc>
        <w:tc>
          <w:tcPr>
            <w:tcW w:w="2335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#出口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6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9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1-本月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1-本月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bookmarkStart w:id="0" w:name="OLE_LINK1" w:colFirst="1" w:colLast="1"/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1473.3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—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924.2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郑  州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1015.4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14.6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632.1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开  封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12.4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-45.5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-52.8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洛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49.3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38.9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-10.3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平顶山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-10.4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-18.6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安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-15.4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6.8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-23.3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鹤  壁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42.4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70.2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乡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25.0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18.1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焦  作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46.9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33.5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濮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29.2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6.6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许  昌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32.7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-9.3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-10.2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漯  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14.6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-33.6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12.6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-38.9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三门峡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51.2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7.3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39.7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南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44.9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-19.1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38.6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-18.1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商  丘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31.2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8.1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35.2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信  阳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12.3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8.9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周  口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26.9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驻马店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11.7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3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10.4</w:t>
            </w:r>
          </w:p>
        </w:tc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  <w:tc>
          <w:tcPr>
            <w:tcW w:w="595" w:type="dxa"/>
            <w:tcBorders>
              <w:lef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iCs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568" w:type="dxa"/>
            <w:tcBorders>
              <w:bottom w:val="single" w:color="auto" w:sz="8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92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44.8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  <w:tc>
          <w:tcPr>
            <w:tcW w:w="60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3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9.0</w:t>
            </w:r>
          </w:p>
        </w:tc>
        <w:tc>
          <w:tcPr>
            <w:tcW w:w="80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-14.1</w:t>
            </w:r>
          </w:p>
        </w:tc>
        <w:tc>
          <w:tcPr>
            <w:tcW w:w="595" w:type="dxa"/>
            <w:tcBorders>
              <w:left w:val="single" w:color="000000" w:sz="4" w:space="0"/>
              <w:bottom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bookmarkEnd w:id="0"/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分直管县地区生产总值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单位:亿元、%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25"/>
        <w:gridCol w:w="951"/>
        <w:gridCol w:w="804"/>
        <w:gridCol w:w="641"/>
        <w:gridCol w:w="881"/>
        <w:gridCol w:w="817"/>
        <w:gridCol w:w="81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2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市、县</w:t>
            </w:r>
          </w:p>
        </w:tc>
        <w:tc>
          <w:tcPr>
            <w:tcW w:w="2396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生产总值（一季度）</w:t>
            </w:r>
          </w:p>
        </w:tc>
        <w:tc>
          <w:tcPr>
            <w:tcW w:w="2516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三次产业增速（一季度）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325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绝对值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一产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二产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三产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5"/>
              </w:rPr>
              <w:t>全  省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11510.15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-6.7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-9.7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-8.1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-4.9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巩  义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169.83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-9.1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-14.8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-9.9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兰  考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76.85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-6.4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-8.0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-8.8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汝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95.47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-11.1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-12.3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-12.6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滑  县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73.37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-9.0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-14.7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长  垣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91.07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-7.3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邓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99.25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-6.5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-10.5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永  城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129.87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-6.2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固  始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81.36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-7.5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-13.4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-10.6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鹿  邑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83.03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-7.5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32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新  蔡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52.90</w:t>
            </w:r>
          </w:p>
        </w:tc>
        <w:tc>
          <w:tcPr>
            <w:tcW w:w="8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-10.3</w:t>
            </w:r>
          </w:p>
        </w:tc>
        <w:tc>
          <w:tcPr>
            <w:tcW w:w="64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81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-12.0</w:t>
            </w:r>
          </w:p>
        </w:tc>
        <w:tc>
          <w:tcPr>
            <w:tcW w:w="81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-8.5</w:t>
            </w:r>
          </w:p>
        </w:tc>
        <w:tc>
          <w:tcPr>
            <w:tcW w:w="8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325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154.25</w:t>
            </w:r>
          </w:p>
        </w:tc>
        <w:tc>
          <w:tcPr>
            <w:tcW w:w="804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  <w:tc>
          <w:tcPr>
            <w:tcW w:w="64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1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-13.3</w:t>
            </w:r>
          </w:p>
        </w:tc>
        <w:tc>
          <w:tcPr>
            <w:tcW w:w="817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分直管县工业增加值、消费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单位:亿元、%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3"/>
        <w:gridCol w:w="951"/>
        <w:gridCol w:w="952"/>
        <w:gridCol w:w="1107"/>
        <w:gridCol w:w="1018"/>
        <w:gridCol w:w="76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6" w:hRule="exact"/>
          <w:jc w:val="center"/>
        </w:trPr>
        <w:tc>
          <w:tcPr>
            <w:tcW w:w="1443" w:type="dxa"/>
            <w:vMerge w:val="restart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1903" w:type="dxa"/>
            <w:gridSpan w:val="2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工业增加值</w:t>
            </w:r>
          </w:p>
        </w:tc>
        <w:tc>
          <w:tcPr>
            <w:tcW w:w="2891" w:type="dxa"/>
            <w:gridSpan w:val="3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社会消费品零售总额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6" w:hRule="exact"/>
          <w:jc w:val="center"/>
        </w:trPr>
        <w:tc>
          <w:tcPr>
            <w:tcW w:w="144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累计</w:t>
            </w: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1-本月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5"/>
              </w:rPr>
              <w:t>全  省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-2.9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6313.3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-17.4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巩  义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74.2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-17.6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兰  考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57.4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-14.2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汝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70.7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-15.8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滑  县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46.4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-16.4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长  垣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48.7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-14.1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邓  州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52.4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-15.7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永  城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61.2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固  始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50.9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-14.2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鹿  邑</w:t>
            </w:r>
          </w:p>
        </w:tc>
        <w:tc>
          <w:tcPr>
            <w:tcW w:w="9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  <w:tc>
          <w:tcPr>
            <w:tcW w:w="95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07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65.3</w:t>
            </w:r>
          </w:p>
        </w:tc>
        <w:tc>
          <w:tcPr>
            <w:tcW w:w="10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-14</w:t>
            </w:r>
          </w:p>
        </w:tc>
        <w:tc>
          <w:tcPr>
            <w:tcW w:w="76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443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color w:val="000000"/>
                <w:sz w:val="18"/>
                <w:szCs w:val="15"/>
              </w:rPr>
              <w:t>新  蔡</w:t>
            </w:r>
          </w:p>
        </w:tc>
        <w:tc>
          <w:tcPr>
            <w:tcW w:w="951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  <w:tc>
          <w:tcPr>
            <w:tcW w:w="952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07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49.4</w:t>
            </w:r>
          </w:p>
        </w:tc>
        <w:tc>
          <w:tcPr>
            <w:tcW w:w="1018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-13.9</w:t>
            </w:r>
          </w:p>
        </w:tc>
        <w:tc>
          <w:tcPr>
            <w:tcW w:w="766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443" w:type="dxa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5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5"/>
              </w:rPr>
              <w:t>济  源</w:t>
            </w:r>
          </w:p>
        </w:tc>
        <w:tc>
          <w:tcPr>
            <w:tcW w:w="9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47.6</w:t>
            </w:r>
          </w:p>
        </w:tc>
        <w:tc>
          <w:tcPr>
            <w:tcW w:w="1018" w:type="dxa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-16.7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分直管县综合能源消费量（1-3月）</w:t>
      </w:r>
    </w:p>
    <w:p>
      <w:pPr>
        <w:wordWrap w:val="0"/>
        <w:jc w:val="right"/>
        <w:rPr>
          <w:rFonts w:hint="eastAsia"/>
          <w:color w:val="000000"/>
        </w:rPr>
      </w:pPr>
      <w:r>
        <w:rPr>
          <w:rFonts w:ascii="宋体" w:hAnsi="宋体"/>
          <w:color w:val="000000"/>
          <w:sz w:val="18"/>
        </w:rPr>
        <w:t>单位:</w:t>
      </w:r>
      <w:r>
        <w:rPr>
          <w:rFonts w:hint="eastAsia" w:ascii="宋体" w:hAnsi="宋体"/>
          <w:color w:val="000000"/>
          <w:sz w:val="18"/>
        </w:rPr>
        <w:t>万</w:t>
      </w:r>
      <w:r>
        <w:rPr>
          <w:rFonts w:ascii="宋体" w:hAnsi="宋体"/>
          <w:color w:val="000000"/>
          <w:sz w:val="18"/>
        </w:rPr>
        <w:t>吨标准煤、%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57"/>
        <w:gridCol w:w="1095"/>
        <w:gridCol w:w="1095"/>
        <w:gridCol w:w="1095"/>
        <w:gridCol w:w="109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1857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综合能源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消费量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增加值能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耗降低率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降低率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2849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巩  义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75.52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9.3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16.78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兰  考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4.45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-21.9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-17.14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汝  州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58.76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9.25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滑  县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14.65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1.78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长  垣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18.02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-13.3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-11.81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邓  州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-11.3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-6.94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永  城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127.13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-0.14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固  始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0.59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-41.1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-32.44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鹿  邑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-9.2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-4.66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蔡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0.31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-34.8</w:t>
            </w:r>
          </w:p>
        </w:tc>
        <w:tc>
          <w:tcPr>
            <w:tcW w:w="109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-28.14</w:t>
            </w:r>
          </w:p>
        </w:tc>
        <w:tc>
          <w:tcPr>
            <w:tcW w:w="109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85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149.06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-16.4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-15.32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分直管县固定资产投资</w:t>
      </w:r>
    </w:p>
    <w:p>
      <w:pPr>
        <w:wordWrap w:val="0"/>
        <w:jc w:val="righ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宋体" w:hAnsi="宋体"/>
          <w:color w:val="000000"/>
          <w:sz w:val="18"/>
        </w:rPr>
        <w:t>单位:%</w:t>
      </w:r>
      <w:r>
        <w:rPr>
          <w:rFonts w:hint="eastAsia" w:ascii="宋体" w:hAnsi="宋体"/>
          <w:color w:val="000000"/>
          <w:sz w:val="18"/>
        </w:rPr>
        <w:t xml:space="preserve"> </w:t>
      </w: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75"/>
        <w:gridCol w:w="1115"/>
        <w:gridCol w:w="1116"/>
        <w:gridCol w:w="1115"/>
        <w:gridCol w:w="11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75" w:type="dxa"/>
            <w:vMerge w:val="restart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市、县</w:t>
            </w:r>
          </w:p>
        </w:tc>
        <w:tc>
          <w:tcPr>
            <w:tcW w:w="22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固定资产投资</w:t>
            </w:r>
          </w:p>
        </w:tc>
        <w:tc>
          <w:tcPr>
            <w:tcW w:w="22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#房地产投资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775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增长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  <w:sz w:val="18"/>
              </w:rPr>
            </w:pPr>
            <w:r>
              <w:rPr>
                <w:rFonts w:ascii="宋体" w:hAnsi="宋体"/>
                <w:bCs/>
                <w:color w:val="000000"/>
                <w:sz w:val="18"/>
              </w:rPr>
              <w:t>位次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全  省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巩  义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兰  考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汝  州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8.8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滑  县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-15.8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-10.3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长  垣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15.0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邓  州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11.6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永  城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-11.8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固  始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-13.8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鹿  邑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77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新  蔡</w:t>
            </w:r>
          </w:p>
        </w:tc>
        <w:tc>
          <w:tcPr>
            <w:tcW w:w="111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1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-6.6</w:t>
            </w:r>
          </w:p>
        </w:tc>
        <w:tc>
          <w:tcPr>
            <w:tcW w:w="1116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1775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济  源</w:t>
            </w:r>
          </w:p>
        </w:tc>
        <w:tc>
          <w:tcPr>
            <w:tcW w:w="1115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-5.9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15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9.4</w:t>
            </w:r>
          </w:p>
        </w:tc>
        <w:tc>
          <w:tcPr>
            <w:tcW w:w="1116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全省主要经济指标</w:t>
      </w:r>
    </w:p>
    <w:p>
      <w:pPr>
        <w:jc w:val="center"/>
        <w:rPr>
          <w:rFonts w:hint="eastAsia" w:ascii="黑体" w:hAnsi="黑体" w:eastAsia="黑体" w:cs="黑体"/>
          <w:color w:val="000000"/>
          <w:szCs w:val="21"/>
        </w:rPr>
      </w:pP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"/>
        <w:gridCol w:w="2917"/>
        <w:gridCol w:w="716"/>
        <w:gridCol w:w="1144"/>
        <w:gridCol w:w="129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5" w:hRule="exact"/>
          <w:jc w:val="center"/>
        </w:trPr>
        <w:tc>
          <w:tcPr>
            <w:tcW w:w="3108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指    标</w:t>
            </w:r>
          </w:p>
        </w:tc>
        <w:tc>
          <w:tcPr>
            <w:tcW w:w="721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1-本月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地区生产总值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（一季度）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bidi="ar"/>
              </w:rPr>
              <w:t>11510.15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bidi="ar"/>
              </w:rPr>
              <w:t>-6.7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第一产业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bidi="ar"/>
              </w:rPr>
              <w:t>688.71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bidi="ar"/>
              </w:rPr>
              <w:t>-9.7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第二产业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bidi="ar"/>
              </w:rPr>
              <w:t>4745.69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bidi="ar"/>
              </w:rPr>
              <w:t>-8.1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第三产业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bidi="ar"/>
              </w:rPr>
              <w:t>6075.75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bidi="ar"/>
              </w:rPr>
              <w:t>-4.9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规模以上工业增加值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  <w:lang w:bidi="ar"/>
              </w:rPr>
              <w:t>-2.9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固定资产投资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－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社会消费品零售总额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bidi="ar"/>
              </w:rPr>
              <w:t>6313.3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18"/>
                <w:szCs w:val="18"/>
                <w:lang w:bidi="ar"/>
              </w:rPr>
            </w:pPr>
            <w:r>
              <w:rPr>
                <w:bCs/>
                <w:color w:val="000000"/>
                <w:kern w:val="0"/>
                <w:sz w:val="18"/>
                <w:szCs w:val="18"/>
                <w:lang w:bidi="ar"/>
              </w:rPr>
              <w:t>-17.4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公共预算收入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  <w:t>1277.8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  <w:t>-11.5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公共预算支出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  <w:t>3417.1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进出口总额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1473.3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#出口总额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924.2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（一季度）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57" w:rightChars="2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6285.8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81"/>
              </w:tabs>
              <w:autoSpaceDN w:val="0"/>
              <w:ind w:right="57" w:rightChars="2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城镇居民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（一季度）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57" w:rightChars="2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9088.2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81"/>
              </w:tabs>
              <w:autoSpaceDN w:val="0"/>
              <w:ind w:right="57" w:rightChars="2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村居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民人均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可支配收入（一季度）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57" w:rightChars="2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3939.9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57" w:rightChars="2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17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居民消费价格总指数</w:t>
            </w:r>
          </w:p>
        </w:tc>
        <w:tc>
          <w:tcPr>
            <w:tcW w:w="72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57" w:rightChars="2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104.9</w:t>
            </w:r>
          </w:p>
        </w:tc>
        <w:tc>
          <w:tcPr>
            <w:tcW w:w="129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11"/>
              </w:tabs>
              <w:autoSpaceDN w:val="0"/>
              <w:ind w:right="57" w:rightChars="2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70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57" w:rightChars="27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1-3月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57" w:rightChars="27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70" w:type="dxa"/>
            <w:tcBorders>
              <w:bottom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规模以上工业营业收入</w:t>
            </w:r>
          </w:p>
        </w:tc>
        <w:tc>
          <w:tcPr>
            <w:tcW w:w="721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299" w:type="dxa"/>
            <w:tcBorders>
              <w:left w:val="single" w:color="000000" w:sz="4" w:space="0"/>
              <w:bottom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  <w:t>-8.0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利润总额</w:t>
            </w:r>
          </w:p>
        </w:tc>
        <w:tc>
          <w:tcPr>
            <w:tcW w:w="7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70" w:type="dxa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万元增加值能耗降低率</w:t>
            </w: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299" w:type="dxa"/>
            <w:tcBorders>
              <w:top w:val="nil"/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  <w:lang w:bidi="ar"/>
              </w:rPr>
              <w:t>-3.76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全国主要经济指标</w:t>
      </w:r>
    </w:p>
    <w:p>
      <w:pPr>
        <w:jc w:val="center"/>
        <w:rPr>
          <w:rFonts w:hint="eastAsia" w:ascii="黑体" w:hAnsi="黑体" w:eastAsia="黑体" w:cs="黑体"/>
          <w:color w:val="000000"/>
          <w:szCs w:val="21"/>
        </w:rPr>
      </w:pPr>
    </w:p>
    <w:tbl>
      <w:tblPr>
        <w:tblStyle w:val="88"/>
        <w:tblW w:w="623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9"/>
        <w:gridCol w:w="3015"/>
        <w:gridCol w:w="838"/>
        <w:gridCol w:w="1200"/>
        <w:gridCol w:w="101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3" w:hRule="exact"/>
          <w:jc w:val="center"/>
        </w:trPr>
        <w:tc>
          <w:tcPr>
            <w:tcW w:w="3175" w:type="dxa"/>
            <w:gridSpan w:val="2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指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836" w:type="dxa"/>
            <w:tcBorders>
              <w:top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1-本月</w:t>
            </w:r>
          </w:p>
        </w:tc>
        <w:tc>
          <w:tcPr>
            <w:tcW w:w="1012" w:type="dxa"/>
            <w:tcBorders>
              <w:top w:val="single" w:color="auto" w:sz="8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地区生产总值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（一季度）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206504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-6.8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第一产业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10186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-3.2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第二产业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73638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-9.6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第三产业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122680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-5.2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规模以上工业增加值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－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-4.9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规模以上工业产销率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96.8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-1.3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制造业采购经理指数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50.8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－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固定资产投资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136824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-10.3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社会消费品零售总额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106758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-7.5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公共预算收入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62133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-14.5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公共预算支出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73596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-2.7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进出口总额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90713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-4.9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#出口总额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47435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-6.4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（一季度）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8561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城镇居民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可支配收入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（一季度）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11691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村居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民人均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可支配收入（一季度）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4641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居民消费价格总指数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38" w:rightChars="18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4.5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6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1-3月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增长 %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规模以上工业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营业</w:t>
            </w:r>
            <w:r>
              <w:rPr>
                <w:bCs/>
                <w:color w:val="000000"/>
                <w:sz w:val="18"/>
                <w:szCs w:val="18"/>
              </w:rPr>
              <w:t>收入</w:t>
            </w: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198574.9</w:t>
            </w:r>
          </w:p>
        </w:tc>
        <w:tc>
          <w:tcPr>
            <w:tcW w:w="10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93"/>
              </w:tabs>
              <w:autoSpaceDN w:val="0"/>
              <w:ind w:right="105" w:rightChars="5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-15.1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6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tcBorders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利润总额</w:t>
            </w:r>
          </w:p>
        </w:tc>
        <w:tc>
          <w:tcPr>
            <w:tcW w:w="836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97" w:type="dxa"/>
            <w:tcBorders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7814.5</w:t>
            </w:r>
          </w:p>
        </w:tc>
        <w:tc>
          <w:tcPr>
            <w:tcW w:w="1012" w:type="dxa"/>
            <w:tcBorders>
              <w:left w:val="single" w:color="000000" w:sz="4" w:space="0"/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ind w:right="105" w:rightChars="50"/>
              <w:jc w:val="center"/>
              <w:textAlignment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-36.7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  <w:color w:val="000000"/>
        </w:rPr>
      </w:pPr>
    </w:p>
    <w:sectPr>
      <w:pgSz w:w="8392" w:h="11907"/>
      <w:pgMar w:top="1134" w:right="1134" w:bottom="1134" w:left="1134" w:header="567" w:footer="851" w:gutter="0"/>
      <w:cols w:space="720" w:num="1"/>
      <w:docGrid w:type="line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476885" cy="147955"/>
              <wp:effectExtent l="0" t="0" r="0" b="0"/>
              <wp:wrapNone/>
              <wp:docPr id="5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5"/>
                            <w:rPr>
                              <w:rStyle w:val="91"/>
                              <w:rFonts w:hint="eastAsia"/>
                            </w:rPr>
                          </w:pPr>
                          <w:r>
                            <w:rPr>
                              <w:rStyle w:val="91"/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9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1"/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91"/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height:11.65pt;width:37.55pt;mso-position-horizontal:outside;mso-position-horizontal-relative:margin;mso-position-vertical:top;z-index:251658240;mso-width-relative:page;mso-height-relative:page;" filled="f" stroked="f" coordsize="21600,21600" o:gfxdata="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YU2XY&#10;0gAAAAMBAAAPAAAAAAAAAAEAIAAAACIAAABkcnMvZG93bnJldi54bWxQSwECFAAUAAAACACHTuJA&#10;4aXlCrUBAABK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  <w:rPr>
                        <w:rStyle w:val="91"/>
                        <w:rFonts w:hint="eastAsia"/>
                      </w:rPr>
                    </w:pPr>
                    <w:r>
                      <w:rPr>
                        <w:rStyle w:val="91"/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Style w:val="9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1"/>
                        <w:lang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91"/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framePr w:wrap="around" w:vAnchor="text" w:hAnchor="margin" w:xAlign="outside" w:y="1"/>
      <w:rPr>
        <w:rStyle w:val="91"/>
      </w:rPr>
    </w:pPr>
    <w:r>
      <w:fldChar w:fldCharType="begin"/>
    </w:r>
    <w:r>
      <w:rPr>
        <w:rStyle w:val="91"/>
      </w:rPr>
      <w:instrText xml:space="preserve">PAGE  </w:instrText>
    </w:r>
    <w:r>
      <w:fldChar w:fldCharType="separate"/>
    </w:r>
    <w:r>
      <w:rPr>
        <w:rStyle w:val="91"/>
      </w:rPr>
      <w:t>7</w:t>
    </w:r>
    <w:r>
      <w:fldChar w:fldCharType="end"/>
    </w:r>
  </w:p>
  <w:p>
    <w:pPr>
      <w:pStyle w:val="5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00000007"/>
    <w:multiLevelType w:val="singleLevel"/>
    <w:tmpl w:val="00000007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0000000B"/>
    <w:multiLevelType w:val="singleLevel"/>
    <w:tmpl w:val="0000000B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4">
    <w:nsid w:val="0000000C"/>
    <w:multiLevelType w:val="singleLevel"/>
    <w:tmpl w:val="0000000C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5">
    <w:nsid w:val="0000000D"/>
    <w:multiLevelType w:val="singleLevel"/>
    <w:tmpl w:val="0000000D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0000000E"/>
    <w:multiLevelType w:val="singleLevel"/>
    <w:tmpl w:val="0000000E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7">
    <w:nsid w:val="0000000F"/>
    <w:multiLevelType w:val="singleLevel"/>
    <w:tmpl w:val="0000000F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00000010"/>
    <w:multiLevelType w:val="singleLevel"/>
    <w:tmpl w:val="00000010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0">
    <w:nsid w:val="0275CFFD"/>
    <w:multiLevelType w:val="singleLevel"/>
    <w:tmpl w:val="0275CFF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0B"/>
    <w:rsid w:val="00024598"/>
    <w:rsid w:val="00044E3C"/>
    <w:rsid w:val="00047328"/>
    <w:rsid w:val="000618F7"/>
    <w:rsid w:val="000C0986"/>
    <w:rsid w:val="000F55E5"/>
    <w:rsid w:val="00122125"/>
    <w:rsid w:val="00171B75"/>
    <w:rsid w:val="001A17C5"/>
    <w:rsid w:val="001B356C"/>
    <w:rsid w:val="001D1F4C"/>
    <w:rsid w:val="002B0762"/>
    <w:rsid w:val="002F099D"/>
    <w:rsid w:val="00313296"/>
    <w:rsid w:val="00335598"/>
    <w:rsid w:val="003D0301"/>
    <w:rsid w:val="003E1040"/>
    <w:rsid w:val="003F2849"/>
    <w:rsid w:val="004427DF"/>
    <w:rsid w:val="004A040A"/>
    <w:rsid w:val="004F1365"/>
    <w:rsid w:val="00542D0D"/>
    <w:rsid w:val="00586DCD"/>
    <w:rsid w:val="00590147"/>
    <w:rsid w:val="005A33F3"/>
    <w:rsid w:val="005D15A2"/>
    <w:rsid w:val="005F65E0"/>
    <w:rsid w:val="0061002C"/>
    <w:rsid w:val="006A27F9"/>
    <w:rsid w:val="007A3DBF"/>
    <w:rsid w:val="007C4F64"/>
    <w:rsid w:val="00851D3D"/>
    <w:rsid w:val="00951859"/>
    <w:rsid w:val="00A07876"/>
    <w:rsid w:val="00A86916"/>
    <w:rsid w:val="00AC2E4D"/>
    <w:rsid w:val="00AE70AD"/>
    <w:rsid w:val="00B5262D"/>
    <w:rsid w:val="00BD38CF"/>
    <w:rsid w:val="00C105AC"/>
    <w:rsid w:val="00C23734"/>
    <w:rsid w:val="00C62D64"/>
    <w:rsid w:val="00D22C6D"/>
    <w:rsid w:val="00D24D5B"/>
    <w:rsid w:val="00DA1B3A"/>
    <w:rsid w:val="00DA26D5"/>
    <w:rsid w:val="00DA3CD0"/>
    <w:rsid w:val="00DF350B"/>
    <w:rsid w:val="00E26788"/>
    <w:rsid w:val="00E34FC8"/>
    <w:rsid w:val="00E84ECE"/>
    <w:rsid w:val="00ED46C6"/>
    <w:rsid w:val="00EF1651"/>
    <w:rsid w:val="00F07B41"/>
    <w:rsid w:val="00F7266F"/>
    <w:rsid w:val="0174071A"/>
    <w:rsid w:val="01E06BD0"/>
    <w:rsid w:val="02D5694F"/>
    <w:rsid w:val="03301E13"/>
    <w:rsid w:val="04FA50F1"/>
    <w:rsid w:val="054942C0"/>
    <w:rsid w:val="06B82ABD"/>
    <w:rsid w:val="0701595C"/>
    <w:rsid w:val="076E7D51"/>
    <w:rsid w:val="080D3204"/>
    <w:rsid w:val="0849521F"/>
    <w:rsid w:val="08C408D6"/>
    <w:rsid w:val="08C91A3C"/>
    <w:rsid w:val="09196209"/>
    <w:rsid w:val="09323EEA"/>
    <w:rsid w:val="0A3D136D"/>
    <w:rsid w:val="0A6752AB"/>
    <w:rsid w:val="0B5E3BEA"/>
    <w:rsid w:val="0BF777D3"/>
    <w:rsid w:val="0C092770"/>
    <w:rsid w:val="0C58122F"/>
    <w:rsid w:val="0C594596"/>
    <w:rsid w:val="0CBA06BF"/>
    <w:rsid w:val="0D5532AC"/>
    <w:rsid w:val="0D8509A5"/>
    <w:rsid w:val="0DD5317D"/>
    <w:rsid w:val="0E080BD5"/>
    <w:rsid w:val="0EE06982"/>
    <w:rsid w:val="0F0D6C7F"/>
    <w:rsid w:val="0F7717B5"/>
    <w:rsid w:val="10447EDE"/>
    <w:rsid w:val="11D43AE5"/>
    <w:rsid w:val="14043FDE"/>
    <w:rsid w:val="141B22EE"/>
    <w:rsid w:val="141C7A12"/>
    <w:rsid w:val="14A4768B"/>
    <w:rsid w:val="15062200"/>
    <w:rsid w:val="152B76B9"/>
    <w:rsid w:val="153D70B0"/>
    <w:rsid w:val="15A5258A"/>
    <w:rsid w:val="15D50C50"/>
    <w:rsid w:val="15F41F9B"/>
    <w:rsid w:val="160F4AF9"/>
    <w:rsid w:val="16186ECE"/>
    <w:rsid w:val="17640778"/>
    <w:rsid w:val="17785248"/>
    <w:rsid w:val="181B2D6C"/>
    <w:rsid w:val="1888234F"/>
    <w:rsid w:val="18961745"/>
    <w:rsid w:val="190C0A3E"/>
    <w:rsid w:val="19326683"/>
    <w:rsid w:val="19340DD7"/>
    <w:rsid w:val="199B0042"/>
    <w:rsid w:val="19D12596"/>
    <w:rsid w:val="19DD7E18"/>
    <w:rsid w:val="19F93BA0"/>
    <w:rsid w:val="1A805D3E"/>
    <w:rsid w:val="1ACB07C8"/>
    <w:rsid w:val="1B0C4985"/>
    <w:rsid w:val="1BA4092C"/>
    <w:rsid w:val="1C8F6B39"/>
    <w:rsid w:val="1CF26C6D"/>
    <w:rsid w:val="1DC800A0"/>
    <w:rsid w:val="1E000098"/>
    <w:rsid w:val="1EC92976"/>
    <w:rsid w:val="1EE922E5"/>
    <w:rsid w:val="1F4E7E4A"/>
    <w:rsid w:val="1F692783"/>
    <w:rsid w:val="205A076D"/>
    <w:rsid w:val="20E04C39"/>
    <w:rsid w:val="20E71AAF"/>
    <w:rsid w:val="213213EC"/>
    <w:rsid w:val="223E28D2"/>
    <w:rsid w:val="22885F3F"/>
    <w:rsid w:val="22A725AC"/>
    <w:rsid w:val="22DE7758"/>
    <w:rsid w:val="239064BF"/>
    <w:rsid w:val="239D0DA7"/>
    <w:rsid w:val="23EE428A"/>
    <w:rsid w:val="23F27E70"/>
    <w:rsid w:val="24AB34E9"/>
    <w:rsid w:val="24AE3F6E"/>
    <w:rsid w:val="258D1670"/>
    <w:rsid w:val="262D41B1"/>
    <w:rsid w:val="26B25351"/>
    <w:rsid w:val="274E79AC"/>
    <w:rsid w:val="276A0849"/>
    <w:rsid w:val="277F6941"/>
    <w:rsid w:val="278563F4"/>
    <w:rsid w:val="279706DF"/>
    <w:rsid w:val="27DE30C4"/>
    <w:rsid w:val="28036FC7"/>
    <w:rsid w:val="28A954E9"/>
    <w:rsid w:val="28FD7372"/>
    <w:rsid w:val="29F04AF4"/>
    <w:rsid w:val="2A19196D"/>
    <w:rsid w:val="2A2739F7"/>
    <w:rsid w:val="2C7B0826"/>
    <w:rsid w:val="2D9A3492"/>
    <w:rsid w:val="2DFC65FB"/>
    <w:rsid w:val="2E053DC1"/>
    <w:rsid w:val="2E373D60"/>
    <w:rsid w:val="2FE252CE"/>
    <w:rsid w:val="2FE378A5"/>
    <w:rsid w:val="3066530E"/>
    <w:rsid w:val="31C51146"/>
    <w:rsid w:val="31ED322D"/>
    <w:rsid w:val="321629BC"/>
    <w:rsid w:val="324914AE"/>
    <w:rsid w:val="33764F08"/>
    <w:rsid w:val="34284BF6"/>
    <w:rsid w:val="34424302"/>
    <w:rsid w:val="3564628D"/>
    <w:rsid w:val="35C11F69"/>
    <w:rsid w:val="36F82324"/>
    <w:rsid w:val="37501A1F"/>
    <w:rsid w:val="37986573"/>
    <w:rsid w:val="38434EB9"/>
    <w:rsid w:val="38AF5F59"/>
    <w:rsid w:val="38FA0A3C"/>
    <w:rsid w:val="3919631D"/>
    <w:rsid w:val="398E7AFE"/>
    <w:rsid w:val="3A64161D"/>
    <w:rsid w:val="3A9E5FAF"/>
    <w:rsid w:val="3AE0690D"/>
    <w:rsid w:val="3B891533"/>
    <w:rsid w:val="3BB92493"/>
    <w:rsid w:val="3CA94783"/>
    <w:rsid w:val="3D3E3608"/>
    <w:rsid w:val="3D5D2D72"/>
    <w:rsid w:val="3DCB0191"/>
    <w:rsid w:val="3DDE2E75"/>
    <w:rsid w:val="3E53731F"/>
    <w:rsid w:val="3ED21071"/>
    <w:rsid w:val="3FF5799D"/>
    <w:rsid w:val="40456903"/>
    <w:rsid w:val="40566963"/>
    <w:rsid w:val="406B3BF0"/>
    <w:rsid w:val="4100118D"/>
    <w:rsid w:val="416B6D74"/>
    <w:rsid w:val="42124D14"/>
    <w:rsid w:val="43580C4B"/>
    <w:rsid w:val="43942060"/>
    <w:rsid w:val="43FE7AF1"/>
    <w:rsid w:val="44AC18B4"/>
    <w:rsid w:val="45465DE6"/>
    <w:rsid w:val="45727DB6"/>
    <w:rsid w:val="45A872BD"/>
    <w:rsid w:val="465E71A0"/>
    <w:rsid w:val="47094668"/>
    <w:rsid w:val="473F5688"/>
    <w:rsid w:val="47C12DBF"/>
    <w:rsid w:val="488338A1"/>
    <w:rsid w:val="48A563B7"/>
    <w:rsid w:val="493605F0"/>
    <w:rsid w:val="49C84790"/>
    <w:rsid w:val="49E86822"/>
    <w:rsid w:val="4A404EF0"/>
    <w:rsid w:val="4AB04F63"/>
    <w:rsid w:val="4AE3387D"/>
    <w:rsid w:val="4B015AF2"/>
    <w:rsid w:val="4B344F3C"/>
    <w:rsid w:val="4B974FE0"/>
    <w:rsid w:val="4B9F0BDD"/>
    <w:rsid w:val="4BCC6744"/>
    <w:rsid w:val="4D1F5E24"/>
    <w:rsid w:val="4D341270"/>
    <w:rsid w:val="4D666EFC"/>
    <w:rsid w:val="4D6737BA"/>
    <w:rsid w:val="4DC741D6"/>
    <w:rsid w:val="4DF22B6F"/>
    <w:rsid w:val="4E63004E"/>
    <w:rsid w:val="4E6A34E3"/>
    <w:rsid w:val="4EED0911"/>
    <w:rsid w:val="4EFB2A96"/>
    <w:rsid w:val="4F264DB5"/>
    <w:rsid w:val="4F2C74B0"/>
    <w:rsid w:val="502E1481"/>
    <w:rsid w:val="5082495C"/>
    <w:rsid w:val="50BC069D"/>
    <w:rsid w:val="50EC1170"/>
    <w:rsid w:val="512F1818"/>
    <w:rsid w:val="519E44FD"/>
    <w:rsid w:val="524B65FC"/>
    <w:rsid w:val="52520F0C"/>
    <w:rsid w:val="52D605FD"/>
    <w:rsid w:val="5325175C"/>
    <w:rsid w:val="53373AA0"/>
    <w:rsid w:val="53C775BD"/>
    <w:rsid w:val="543E4DF4"/>
    <w:rsid w:val="55BA0762"/>
    <w:rsid w:val="567F4E1C"/>
    <w:rsid w:val="56A939A0"/>
    <w:rsid w:val="575568E3"/>
    <w:rsid w:val="57BC2C76"/>
    <w:rsid w:val="57CA537D"/>
    <w:rsid w:val="5905542E"/>
    <w:rsid w:val="59307C56"/>
    <w:rsid w:val="597B46C9"/>
    <w:rsid w:val="5A3730A6"/>
    <w:rsid w:val="5C39308E"/>
    <w:rsid w:val="5CA330B8"/>
    <w:rsid w:val="5CD70495"/>
    <w:rsid w:val="5CFA7877"/>
    <w:rsid w:val="5D661F4E"/>
    <w:rsid w:val="5E2403AF"/>
    <w:rsid w:val="5E74337F"/>
    <w:rsid w:val="5E9C6466"/>
    <w:rsid w:val="5F6072B2"/>
    <w:rsid w:val="5F694506"/>
    <w:rsid w:val="5F900E6D"/>
    <w:rsid w:val="5FA030D1"/>
    <w:rsid w:val="60200621"/>
    <w:rsid w:val="60441317"/>
    <w:rsid w:val="6185392A"/>
    <w:rsid w:val="61DF3AD6"/>
    <w:rsid w:val="61E96D19"/>
    <w:rsid w:val="649A4E83"/>
    <w:rsid w:val="65300A9E"/>
    <w:rsid w:val="655E7DB3"/>
    <w:rsid w:val="670442D1"/>
    <w:rsid w:val="676F6230"/>
    <w:rsid w:val="67C81C60"/>
    <w:rsid w:val="67F54BA0"/>
    <w:rsid w:val="682D68C8"/>
    <w:rsid w:val="696B08CB"/>
    <w:rsid w:val="6A0421F8"/>
    <w:rsid w:val="6AC409F9"/>
    <w:rsid w:val="6C4C2BCB"/>
    <w:rsid w:val="6D0C0D80"/>
    <w:rsid w:val="6D7B64E5"/>
    <w:rsid w:val="6DD01BC2"/>
    <w:rsid w:val="6ECD5BD6"/>
    <w:rsid w:val="70234DF5"/>
    <w:rsid w:val="7036391B"/>
    <w:rsid w:val="70B37F52"/>
    <w:rsid w:val="70F32493"/>
    <w:rsid w:val="71134D5F"/>
    <w:rsid w:val="7162527A"/>
    <w:rsid w:val="717D0AD8"/>
    <w:rsid w:val="718A5F0C"/>
    <w:rsid w:val="727710A2"/>
    <w:rsid w:val="738C6701"/>
    <w:rsid w:val="74CE4831"/>
    <w:rsid w:val="75207C40"/>
    <w:rsid w:val="76FA2391"/>
    <w:rsid w:val="77466945"/>
    <w:rsid w:val="78C66107"/>
    <w:rsid w:val="78E4675B"/>
    <w:rsid w:val="794938AA"/>
    <w:rsid w:val="795262A5"/>
    <w:rsid w:val="79736704"/>
    <w:rsid w:val="79780265"/>
    <w:rsid w:val="79E70088"/>
    <w:rsid w:val="79F242B4"/>
    <w:rsid w:val="7A3B4AF9"/>
    <w:rsid w:val="7A3E66F9"/>
    <w:rsid w:val="7A4B6AC5"/>
    <w:rsid w:val="7C5050FD"/>
    <w:rsid w:val="7C587E16"/>
    <w:rsid w:val="7C5C69CF"/>
    <w:rsid w:val="7C792C11"/>
    <w:rsid w:val="7D1D3B66"/>
    <w:rsid w:val="7D7944AA"/>
    <w:rsid w:val="7E6C3B16"/>
    <w:rsid w:val="7EDC125D"/>
    <w:rsid w:val="7EDC2BFF"/>
    <w:rsid w:val="7F433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uiPriority w:val="0"/>
    <w:pPr>
      <w:keepNext/>
      <w:keepLines/>
      <w:spacing w:before="240" w:beforeLines="0" w:after="64" w:afterLines="0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uiPriority w:val="0"/>
    <w:pPr>
      <w:keepNext/>
      <w:keepLines/>
      <w:spacing w:before="240" w:beforeLines="0" w:after="64" w:afterLines="0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uiPriority w:val="0"/>
    <w:pPr>
      <w:keepNext/>
      <w:keepLines/>
      <w:spacing w:before="240" w:beforeLines="0" w:after="64" w:afterLines="0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iPriority w:val="0"/>
    <w:pPr>
      <w:keepNext/>
      <w:keepLines/>
      <w:spacing w:before="240" w:beforeLines="0" w:after="64" w:afterLines="0" w:line="320" w:lineRule="auto"/>
      <w:outlineLvl w:val="8"/>
    </w:pPr>
    <w:rPr>
      <w:rFonts w:ascii="Arial" w:hAnsi="Arial" w:eastAsia="黑体"/>
      <w:szCs w:val="21"/>
    </w:rPr>
  </w:style>
  <w:style w:type="character" w:default="1" w:styleId="89">
    <w:name w:val="Default Paragraph Font"/>
    <w:uiPriority w:val="0"/>
  </w:style>
  <w:style w:type="table" w:default="1" w:styleId="88">
    <w:name w:val="Normal Table"/>
    <w:semiHidden/>
    <w:qFormat/>
    <w:uiPriority w:val="0"/>
    <w:tblPr>
      <w:tblStyle w:val="8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uiPriority w:val="0"/>
    <w:pPr>
      <w:ind w:left="2520" w:leftChars="1200"/>
    </w:pPr>
  </w:style>
  <w:style w:type="paragraph" w:styleId="14">
    <w:name w:val="List Number 2"/>
    <w:basedOn w:val="1"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uiPriority w:val="0"/>
    <w:pPr>
      <w:ind w:left="420" w:leftChars="200"/>
    </w:pPr>
  </w:style>
  <w:style w:type="paragraph" w:styleId="16">
    <w:name w:val="Note Heading"/>
    <w:basedOn w:val="1"/>
    <w:next w:val="1"/>
    <w:uiPriority w:val="0"/>
    <w:pPr>
      <w:jc w:val="center"/>
    </w:pPr>
  </w:style>
  <w:style w:type="paragraph" w:styleId="17">
    <w:name w:val="List Bullet 4"/>
    <w:basedOn w:val="1"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uiPriority w:val="0"/>
    <w:pPr>
      <w:ind w:left="1400" w:leftChars="1400"/>
    </w:pPr>
  </w:style>
  <w:style w:type="paragraph" w:styleId="19">
    <w:name w:val="E-mail Signature"/>
    <w:basedOn w:val="1"/>
    <w:uiPriority w:val="0"/>
  </w:style>
  <w:style w:type="paragraph" w:styleId="20">
    <w:name w:val="List Number"/>
    <w:basedOn w:val="1"/>
    <w:uiPriority w:val="0"/>
    <w:pPr>
      <w:numPr>
        <w:ilvl w:val="0"/>
        <w:numId w:val="3"/>
      </w:numPr>
    </w:pPr>
  </w:style>
  <w:style w:type="paragraph" w:styleId="21">
    <w:name w:val="Normal Indent"/>
    <w:basedOn w:val="1"/>
    <w:uiPriority w:val="0"/>
    <w:pPr>
      <w:ind w:firstLine="420" w:firstLineChars="200"/>
    </w:pPr>
  </w:style>
  <w:style w:type="paragraph" w:styleId="22">
    <w:name w:val="caption"/>
    <w:basedOn w:val="1"/>
    <w:next w:val="1"/>
    <w:uiPriority w:val="0"/>
    <w:rPr>
      <w:rFonts w:ascii="Arial" w:hAnsi="Arial" w:eastAsia="黑体" w:cs="Arial"/>
      <w:sz w:val="20"/>
      <w:szCs w:val="20"/>
    </w:rPr>
  </w:style>
  <w:style w:type="paragraph" w:styleId="23">
    <w:name w:val="index 5"/>
    <w:basedOn w:val="1"/>
    <w:next w:val="1"/>
    <w:uiPriority w:val="0"/>
    <w:pPr>
      <w:ind w:left="800" w:leftChars="800"/>
    </w:pPr>
  </w:style>
  <w:style w:type="paragraph" w:styleId="24">
    <w:name w:val="List Bullet"/>
    <w:basedOn w:val="1"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uiPriority w:val="0"/>
    <w:pPr>
      <w:snapToGrid w:val="0"/>
      <w:ind w:left="100" w:leftChars="1400"/>
    </w:pPr>
    <w:rPr>
      <w:rFonts w:ascii="Arial" w:hAnsi="Arial" w:cs="Arial"/>
      <w:sz w:val="24"/>
    </w:rPr>
  </w:style>
  <w:style w:type="paragraph" w:styleId="26">
    <w:name w:val="Document Map"/>
    <w:basedOn w:val="1"/>
    <w:uiPriority w:val="0"/>
    <w:pPr>
      <w:shd w:val="clear" w:color="auto" w:fill="000080"/>
    </w:pPr>
  </w:style>
  <w:style w:type="paragraph" w:styleId="27">
    <w:name w:val="toa heading"/>
    <w:basedOn w:val="1"/>
    <w:next w:val="1"/>
    <w:uiPriority w:val="0"/>
    <w:pPr>
      <w:spacing w:before="120" w:beforeLines="0"/>
    </w:pPr>
    <w:rPr>
      <w:rFonts w:ascii="Arial" w:hAnsi="Arial" w:cs="Arial"/>
      <w:sz w:val="24"/>
    </w:rPr>
  </w:style>
  <w:style w:type="paragraph" w:styleId="28">
    <w:name w:val="annotation text"/>
    <w:basedOn w:val="1"/>
    <w:uiPriority w:val="0"/>
    <w:pPr>
      <w:jc w:val="left"/>
    </w:pPr>
  </w:style>
  <w:style w:type="paragraph" w:styleId="29">
    <w:name w:val="index 6"/>
    <w:basedOn w:val="1"/>
    <w:next w:val="1"/>
    <w:uiPriority w:val="0"/>
    <w:pPr>
      <w:ind w:left="1000" w:leftChars="1000"/>
    </w:pPr>
  </w:style>
  <w:style w:type="paragraph" w:styleId="30">
    <w:name w:val="Salutation"/>
    <w:basedOn w:val="1"/>
    <w:next w:val="1"/>
    <w:uiPriority w:val="0"/>
  </w:style>
  <w:style w:type="paragraph" w:styleId="31">
    <w:name w:val="Body Text 3"/>
    <w:basedOn w:val="1"/>
    <w:uiPriority w:val="0"/>
    <w:pPr>
      <w:spacing w:after="120" w:afterLines="0"/>
    </w:pPr>
    <w:rPr>
      <w:sz w:val="16"/>
      <w:szCs w:val="16"/>
    </w:rPr>
  </w:style>
  <w:style w:type="paragraph" w:styleId="32">
    <w:name w:val="Closing"/>
    <w:basedOn w:val="1"/>
    <w:uiPriority w:val="0"/>
    <w:pPr>
      <w:ind w:left="100" w:leftChars="2100"/>
    </w:pPr>
  </w:style>
  <w:style w:type="paragraph" w:styleId="33">
    <w:name w:val="List Bullet 3"/>
    <w:basedOn w:val="1"/>
    <w:uiPriority w:val="0"/>
    <w:pPr>
      <w:numPr>
        <w:ilvl w:val="0"/>
        <w:numId w:val="5"/>
      </w:numPr>
    </w:pPr>
  </w:style>
  <w:style w:type="paragraph" w:styleId="34">
    <w:name w:val="Body Text"/>
    <w:basedOn w:val="1"/>
    <w:uiPriority w:val="0"/>
    <w:pPr>
      <w:spacing w:after="120" w:afterLines="0"/>
    </w:pPr>
  </w:style>
  <w:style w:type="paragraph" w:styleId="35">
    <w:name w:val="Body Text Indent"/>
    <w:basedOn w:val="1"/>
    <w:uiPriority w:val="0"/>
    <w:pPr>
      <w:spacing w:after="120" w:afterLines="0"/>
      <w:ind w:left="420" w:leftChars="200"/>
    </w:pPr>
  </w:style>
  <w:style w:type="paragraph" w:styleId="36">
    <w:name w:val="List Number 3"/>
    <w:basedOn w:val="1"/>
    <w:uiPriority w:val="0"/>
    <w:pPr>
      <w:numPr>
        <w:ilvl w:val="0"/>
        <w:numId w:val="6"/>
      </w:numPr>
    </w:pPr>
  </w:style>
  <w:style w:type="paragraph" w:styleId="37">
    <w:name w:val="List 2"/>
    <w:basedOn w:val="1"/>
    <w:uiPriority w:val="0"/>
    <w:pPr>
      <w:ind w:left="100" w:leftChars="200" w:hanging="200" w:hangingChars="200"/>
    </w:pPr>
  </w:style>
  <w:style w:type="paragraph" w:styleId="38">
    <w:name w:val="List Continue"/>
    <w:basedOn w:val="1"/>
    <w:uiPriority w:val="0"/>
    <w:pPr>
      <w:spacing w:after="120" w:afterLines="0"/>
      <w:ind w:left="420" w:leftChars="200"/>
    </w:pPr>
  </w:style>
  <w:style w:type="paragraph" w:styleId="39">
    <w:name w:val="Block Text"/>
    <w:basedOn w:val="1"/>
    <w:uiPriority w:val="0"/>
    <w:pPr>
      <w:spacing w:after="120" w:afterLines="0"/>
      <w:ind w:left="1440" w:leftChars="700" w:right="1440" w:rightChars="700"/>
    </w:pPr>
  </w:style>
  <w:style w:type="paragraph" w:styleId="40">
    <w:name w:val="List Bullet 2"/>
    <w:basedOn w:val="1"/>
    <w:uiPriority w:val="0"/>
    <w:pPr>
      <w:numPr>
        <w:ilvl w:val="0"/>
        <w:numId w:val="7"/>
      </w:numPr>
    </w:pPr>
  </w:style>
  <w:style w:type="paragraph" w:styleId="41">
    <w:name w:val="HTML Address"/>
    <w:basedOn w:val="1"/>
    <w:uiPriority w:val="0"/>
    <w:rPr>
      <w:i/>
      <w:iCs/>
    </w:rPr>
  </w:style>
  <w:style w:type="paragraph" w:styleId="42">
    <w:name w:val="index 4"/>
    <w:basedOn w:val="1"/>
    <w:next w:val="1"/>
    <w:uiPriority w:val="0"/>
    <w:pPr>
      <w:ind w:left="600" w:leftChars="600"/>
    </w:pPr>
  </w:style>
  <w:style w:type="paragraph" w:styleId="43">
    <w:name w:val="toc 5"/>
    <w:basedOn w:val="1"/>
    <w:next w:val="1"/>
    <w:uiPriority w:val="0"/>
    <w:pPr>
      <w:ind w:left="1680" w:leftChars="800"/>
    </w:pPr>
  </w:style>
  <w:style w:type="paragraph" w:styleId="44">
    <w:name w:val="toc 3"/>
    <w:basedOn w:val="1"/>
    <w:next w:val="1"/>
    <w:uiPriority w:val="0"/>
    <w:pPr>
      <w:ind w:left="840" w:leftChars="400"/>
    </w:pPr>
  </w:style>
  <w:style w:type="paragraph" w:styleId="45">
    <w:name w:val="Plain Text"/>
    <w:basedOn w:val="1"/>
    <w:uiPriority w:val="0"/>
    <w:rPr>
      <w:rFonts w:ascii="宋体" w:hAnsi="Courier New" w:cs="Courier New"/>
      <w:szCs w:val="21"/>
    </w:rPr>
  </w:style>
  <w:style w:type="paragraph" w:styleId="46">
    <w:name w:val="List Bullet 5"/>
    <w:basedOn w:val="1"/>
    <w:uiPriority w:val="0"/>
    <w:pPr>
      <w:numPr>
        <w:ilvl w:val="0"/>
        <w:numId w:val="8"/>
      </w:numPr>
    </w:pPr>
  </w:style>
  <w:style w:type="paragraph" w:styleId="47">
    <w:name w:val="List Number 4"/>
    <w:basedOn w:val="1"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uiPriority w:val="0"/>
    <w:pPr>
      <w:ind w:left="2940" w:leftChars="1400"/>
    </w:pPr>
  </w:style>
  <w:style w:type="paragraph" w:styleId="49">
    <w:name w:val="index 3"/>
    <w:basedOn w:val="1"/>
    <w:next w:val="1"/>
    <w:uiPriority w:val="0"/>
    <w:pPr>
      <w:ind w:left="400" w:leftChars="400"/>
    </w:pPr>
  </w:style>
  <w:style w:type="paragraph" w:styleId="50">
    <w:name w:val="Date"/>
    <w:basedOn w:val="1"/>
    <w:next w:val="1"/>
    <w:uiPriority w:val="0"/>
    <w:pPr>
      <w:ind w:left="100" w:leftChars="2500"/>
    </w:pPr>
  </w:style>
  <w:style w:type="paragraph" w:styleId="51">
    <w:name w:val="Body Text Indent 2"/>
    <w:basedOn w:val="1"/>
    <w:uiPriority w:val="0"/>
    <w:pPr>
      <w:spacing w:after="120" w:afterLines="0" w:line="480" w:lineRule="auto"/>
      <w:ind w:left="420" w:leftChars="200"/>
    </w:pPr>
  </w:style>
  <w:style w:type="paragraph" w:styleId="52">
    <w:name w:val="endnote text"/>
    <w:basedOn w:val="1"/>
    <w:uiPriority w:val="0"/>
    <w:pPr>
      <w:snapToGrid w:val="0"/>
      <w:jc w:val="left"/>
    </w:pPr>
  </w:style>
  <w:style w:type="paragraph" w:styleId="53">
    <w:name w:val="List Continue 5"/>
    <w:basedOn w:val="1"/>
    <w:uiPriority w:val="0"/>
    <w:pPr>
      <w:spacing w:after="120" w:afterLines="0"/>
      <w:ind w:left="2100" w:leftChars="1000"/>
    </w:pPr>
  </w:style>
  <w:style w:type="paragraph" w:styleId="54">
    <w:name w:val="Balloon Text"/>
    <w:basedOn w:val="1"/>
    <w:uiPriority w:val="0"/>
    <w:rPr>
      <w:sz w:val="18"/>
      <w:szCs w:val="18"/>
    </w:rPr>
  </w:style>
  <w:style w:type="paragraph" w:styleId="5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uiPriority w:val="0"/>
    <w:pPr>
      <w:snapToGrid w:val="0"/>
    </w:pPr>
    <w:rPr>
      <w:rFonts w:ascii="Arial" w:hAnsi="Arial" w:cs="Arial"/>
    </w:rPr>
  </w:style>
  <w:style w:type="paragraph" w:styleId="5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8">
    <w:name w:val="Signature"/>
    <w:basedOn w:val="1"/>
    <w:uiPriority w:val="0"/>
    <w:pPr>
      <w:ind w:left="100" w:leftChars="2100"/>
    </w:pPr>
  </w:style>
  <w:style w:type="paragraph" w:styleId="59">
    <w:name w:val="toc 1"/>
    <w:basedOn w:val="1"/>
    <w:next w:val="1"/>
    <w:uiPriority w:val="0"/>
  </w:style>
  <w:style w:type="paragraph" w:styleId="60">
    <w:name w:val="List Continue 4"/>
    <w:basedOn w:val="1"/>
    <w:uiPriority w:val="0"/>
    <w:pPr>
      <w:spacing w:after="120" w:afterLines="0"/>
      <w:ind w:left="1680" w:leftChars="800"/>
    </w:pPr>
  </w:style>
  <w:style w:type="paragraph" w:styleId="61">
    <w:name w:val="toc 4"/>
    <w:basedOn w:val="1"/>
    <w:next w:val="1"/>
    <w:uiPriority w:val="0"/>
    <w:pPr>
      <w:ind w:left="1260" w:leftChars="600"/>
    </w:pPr>
  </w:style>
  <w:style w:type="paragraph" w:styleId="62">
    <w:name w:val="index heading"/>
    <w:basedOn w:val="1"/>
    <w:next w:val="63"/>
    <w:uiPriority w:val="0"/>
    <w:rPr>
      <w:rFonts w:ascii="Arial" w:hAnsi="Arial" w:cs="Arial"/>
      <w:b/>
      <w:bCs/>
    </w:rPr>
  </w:style>
  <w:style w:type="paragraph" w:styleId="63">
    <w:name w:val="index 1"/>
    <w:basedOn w:val="1"/>
    <w:next w:val="1"/>
    <w:uiPriority w:val="0"/>
  </w:style>
  <w:style w:type="paragraph" w:styleId="64">
    <w:name w:val="Subtitle"/>
    <w:basedOn w:val="1"/>
    <w:uiPriority w:val="0"/>
    <w:pPr>
      <w:spacing w:before="240" w:beforeLines="0" w:after="60" w:afterLines="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uiPriority w:val="0"/>
    <w:pPr>
      <w:numPr>
        <w:ilvl w:val="0"/>
        <w:numId w:val="10"/>
      </w:numPr>
    </w:pPr>
  </w:style>
  <w:style w:type="paragraph" w:styleId="66">
    <w:name w:val="List"/>
    <w:basedOn w:val="1"/>
    <w:uiPriority w:val="0"/>
    <w:pPr>
      <w:ind w:left="200" w:hanging="200" w:hangingChars="200"/>
    </w:pPr>
  </w:style>
  <w:style w:type="paragraph" w:styleId="67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uiPriority w:val="0"/>
    <w:pPr>
      <w:ind w:left="2100" w:leftChars="1000"/>
    </w:pPr>
  </w:style>
  <w:style w:type="paragraph" w:styleId="69">
    <w:name w:val="List 5"/>
    <w:basedOn w:val="1"/>
    <w:uiPriority w:val="0"/>
    <w:pPr>
      <w:ind w:left="100" w:leftChars="800" w:hanging="200" w:hangingChars="200"/>
    </w:pPr>
  </w:style>
  <w:style w:type="paragraph" w:styleId="70">
    <w:name w:val="Body Text Indent 3"/>
    <w:basedOn w:val="1"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uiPriority w:val="0"/>
    <w:pPr>
      <w:ind w:left="1200" w:leftChars="1200"/>
    </w:pPr>
  </w:style>
  <w:style w:type="paragraph" w:styleId="72">
    <w:name w:val="index 9"/>
    <w:basedOn w:val="1"/>
    <w:next w:val="1"/>
    <w:uiPriority w:val="0"/>
    <w:pPr>
      <w:ind w:left="1600" w:leftChars="1600"/>
    </w:pPr>
  </w:style>
  <w:style w:type="paragraph" w:styleId="73">
    <w:name w:val="table of figures"/>
    <w:basedOn w:val="1"/>
    <w:next w:val="1"/>
    <w:uiPriority w:val="0"/>
    <w:pPr>
      <w:ind w:leftChars="200" w:hanging="200" w:hangingChars="200"/>
    </w:pPr>
  </w:style>
  <w:style w:type="paragraph" w:styleId="74">
    <w:name w:val="toc 2"/>
    <w:basedOn w:val="1"/>
    <w:next w:val="1"/>
    <w:uiPriority w:val="0"/>
    <w:pPr>
      <w:ind w:left="420" w:leftChars="200"/>
    </w:pPr>
  </w:style>
  <w:style w:type="paragraph" w:styleId="75">
    <w:name w:val="toc 9"/>
    <w:basedOn w:val="1"/>
    <w:next w:val="1"/>
    <w:uiPriority w:val="0"/>
    <w:pPr>
      <w:ind w:left="3360" w:leftChars="1600"/>
    </w:pPr>
  </w:style>
  <w:style w:type="paragraph" w:styleId="76">
    <w:name w:val="Body Text 2"/>
    <w:basedOn w:val="1"/>
    <w:uiPriority w:val="0"/>
    <w:pPr>
      <w:spacing w:after="120" w:afterLines="0" w:line="480" w:lineRule="auto"/>
    </w:pPr>
  </w:style>
  <w:style w:type="paragraph" w:styleId="77">
    <w:name w:val="List 4"/>
    <w:basedOn w:val="1"/>
    <w:uiPriority w:val="0"/>
    <w:pPr>
      <w:ind w:left="100" w:leftChars="600" w:hanging="200" w:hangingChars="200"/>
    </w:pPr>
  </w:style>
  <w:style w:type="paragraph" w:styleId="78">
    <w:name w:val="List Continue 2"/>
    <w:basedOn w:val="1"/>
    <w:uiPriority w:val="0"/>
    <w:pPr>
      <w:spacing w:after="120" w:afterLines="0"/>
      <w:ind w:left="840" w:leftChars="400"/>
    </w:pPr>
  </w:style>
  <w:style w:type="paragraph" w:styleId="79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0">
    <w:name w:val="HTML Preformatted"/>
    <w:basedOn w:val="1"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82">
    <w:name w:val="List Continue 3"/>
    <w:basedOn w:val="1"/>
    <w:uiPriority w:val="0"/>
    <w:pPr>
      <w:spacing w:after="120" w:afterLines="0"/>
      <w:ind w:left="1260" w:leftChars="600"/>
    </w:pPr>
  </w:style>
  <w:style w:type="paragraph" w:styleId="83">
    <w:name w:val="index 2"/>
    <w:basedOn w:val="1"/>
    <w:next w:val="1"/>
    <w:uiPriority w:val="0"/>
    <w:pPr>
      <w:ind w:left="200" w:leftChars="200"/>
    </w:pPr>
  </w:style>
  <w:style w:type="paragraph" w:styleId="84">
    <w:name w:val="Title"/>
    <w:basedOn w:val="1"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28"/>
    <w:next w:val="28"/>
    <w:uiPriority w:val="0"/>
    <w:rPr>
      <w:b/>
      <w:bCs/>
    </w:rPr>
  </w:style>
  <w:style w:type="paragraph" w:styleId="86">
    <w:name w:val="Body Text First Indent"/>
    <w:basedOn w:val="34"/>
    <w:uiPriority w:val="0"/>
    <w:pPr>
      <w:ind w:firstLine="420" w:firstLineChars="100"/>
    </w:pPr>
  </w:style>
  <w:style w:type="paragraph" w:styleId="87">
    <w:name w:val="Body Text First Indent 2"/>
    <w:basedOn w:val="35"/>
    <w:uiPriority w:val="0"/>
    <w:pPr>
      <w:ind w:firstLine="420" w:firstLineChars="200"/>
    </w:pPr>
  </w:style>
  <w:style w:type="character" w:styleId="90">
    <w:name w:val="Strong"/>
    <w:basedOn w:val="89"/>
    <w:qFormat/>
    <w:uiPriority w:val="0"/>
    <w:rPr>
      <w:b/>
    </w:rPr>
  </w:style>
  <w:style w:type="character" w:styleId="91">
    <w:name w:val="page number"/>
    <w:basedOn w:val="89"/>
    <w:uiPriority w:val="0"/>
  </w:style>
  <w:style w:type="character" w:styleId="92">
    <w:name w:val="FollowedHyperlink"/>
    <w:basedOn w:val="89"/>
    <w:uiPriority w:val="0"/>
    <w:rPr>
      <w:rFonts w:ascii="微软雅黑" w:hAnsi="微软雅黑" w:eastAsia="微软雅黑" w:cs="微软雅黑"/>
      <w:color w:val="666666"/>
      <w:sz w:val="21"/>
      <w:szCs w:val="21"/>
      <w:u w:val="none"/>
    </w:rPr>
  </w:style>
  <w:style w:type="character" w:styleId="93">
    <w:name w:val="HTML Definition"/>
    <w:basedOn w:val="89"/>
    <w:uiPriority w:val="0"/>
    <w:rPr>
      <w:i/>
      <w:color w:val="555555"/>
      <w:sz w:val="20"/>
      <w:szCs w:val="20"/>
      <w:bdr w:val="single" w:color="CCCCCC" w:sz="6" w:space="0"/>
      <w:shd w:val="clear" w:color="auto" w:fill="EEEEEE"/>
    </w:rPr>
  </w:style>
  <w:style w:type="character" w:styleId="94">
    <w:name w:val="Hyperlink"/>
    <w:basedOn w:val="89"/>
    <w:uiPriority w:val="0"/>
    <w:rPr>
      <w:rFonts w:hint="eastAsia" w:ascii="微软雅黑" w:hAnsi="微软雅黑" w:eastAsia="微软雅黑" w:cs="微软雅黑"/>
      <w:color w:val="666666"/>
      <w:sz w:val="21"/>
      <w:szCs w:val="21"/>
      <w:u w:val="none"/>
    </w:rPr>
  </w:style>
  <w:style w:type="character" w:styleId="95">
    <w:name w:val="HTML Code"/>
    <w:basedOn w:val="89"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96">
    <w:name w:val="HTML Keyboard"/>
    <w:basedOn w:val="89"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97">
    <w:name w:val="HTML Sample"/>
    <w:basedOn w:val="89"/>
    <w:uiPriority w:val="0"/>
    <w:rPr>
      <w:rFonts w:ascii="Consolas" w:hAnsi="Consolas" w:eastAsia="Consolas" w:cs="Consolas"/>
      <w:sz w:val="21"/>
      <w:szCs w:val="21"/>
    </w:rPr>
  </w:style>
  <w:style w:type="paragraph" w:customStyle="1" w:styleId="98">
    <w:name w:val=" Char Char Char1 Char Char Char Char"/>
    <w:basedOn w:val="1"/>
    <w:uiPriority w:val="0"/>
  </w:style>
  <w:style w:type="paragraph" w:customStyle="1" w:styleId="99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100">
    <w:name w:val=" Char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101">
    <w:name w:val="Char Char Char Char Char Char"/>
    <w:basedOn w:val="1"/>
    <w:uiPriority w:val="0"/>
  </w:style>
  <w:style w:type="character" w:customStyle="1" w:styleId="102">
    <w:name w:val="glyphicon2"/>
    <w:basedOn w:val="89"/>
    <w:uiPriority w:val="0"/>
  </w:style>
  <w:style w:type="character" w:customStyle="1" w:styleId="103">
    <w:name w:val="hover6"/>
    <w:basedOn w:val="89"/>
    <w:uiPriority w:val="0"/>
    <w:rPr>
      <w:shd w:val="clear" w:color="auto" w:fill="EEEEEE"/>
    </w:rPr>
  </w:style>
  <w:style w:type="character" w:customStyle="1" w:styleId="104">
    <w:name w:val="bsharetext"/>
    <w:basedOn w:val="89"/>
    <w:uiPriority w:val="0"/>
  </w:style>
  <w:style w:type="character" w:customStyle="1" w:styleId="105">
    <w:name w:val="hour_am"/>
    <w:basedOn w:val="89"/>
    <w:uiPriority w:val="0"/>
  </w:style>
  <w:style w:type="character" w:customStyle="1" w:styleId="106">
    <w:name w:val="old"/>
    <w:basedOn w:val="89"/>
    <w:uiPriority w:val="0"/>
    <w:rPr>
      <w:color w:val="999999"/>
    </w:rPr>
  </w:style>
  <w:style w:type="character" w:customStyle="1" w:styleId="107">
    <w:name w:val="font11"/>
    <w:basedOn w:val="89"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08">
    <w:name w:val="hour_pm"/>
    <w:basedOn w:val="8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0&#36164;&#26009;\&#26376;&#25253;\&#26376;&#25253;&#36235;&#21183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0&#36164;&#26009;\&#26376;&#25253;\&#26376;&#25253;&#36235;&#21183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0&#36164;&#26009;\&#26376;&#25253;\&#26376;&#25253;&#36235;&#21183;&#22270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0&#36164;&#26009;\&#26376;&#25253;\&#26376;&#25253;&#36235;&#21183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baseline="0">
                <a:solidFill>
                  <a:srgbClr val="000000"/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  <a:r>
              <a:rPr sz="1100" b="0" i="0" u="none" strike="noStrike" baseline="0">
                <a:solidFill>
                  <a:srgbClr val="000000"/>
                </a:solidFill>
                <a:uFillTx/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rPr>
              <a:t>规模以上工业增加值分月累计增速</a:t>
            </a:r>
            <a:r>
              <a:rPr lang="en-US" altLang="zh-CN" sz="1100" b="0" i="0" u="none" strike="noStrike" baseline="0">
                <a:solidFill>
                  <a:srgbClr val="000000"/>
                </a:solidFill>
                <a:uFillTx/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rPr>
              <a:t>%</a:t>
            </a:r>
            <a:endParaRPr lang="en-US" altLang="zh-CN" sz="1200" b="0" i="0" u="none" strike="noStrike" baseline="0">
              <a:solidFill>
                <a:srgbClr val="000000"/>
              </a:solidFill>
              <a:uFillTx/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33424388742474"/>
          <c:y val="0.038233112107928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66569468267582"/>
          <c:y val="0.304605061737571"/>
          <c:w val="0.8825"/>
          <c:h val="0.509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[月报趋势图.xls]工业增加值!$A$11</c:f>
              <c:strCache>
                <c:ptCount val="1"/>
                <c:pt idx="0">
                  <c:v>2019年</c:v>
                </c:pt>
              </c:strCache>
            </c:strRef>
          </c:tx>
          <c:spPr>
            <a:ln w="12700" cap="flat" cmpd="sng" algn="ctr">
              <a:solidFill>
                <a:srgbClr val="000000"/>
              </a:solidFill>
              <a:prstDash val="solid"/>
              <a:round/>
            </a:ln>
          </c:spPr>
          <c:marker>
            <c:symbol val="triang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Pt>
            <c:idx val="4"/>
            <c:marker>
              <c:symbol val="triangle"/>
              <c:size val="5"/>
              <c:spPr>
                <a:noFill/>
                <a:ln w="6350" cap="flat" cmpd="sng" algn="ctr">
                  <a:solidFill>
                    <a:srgbClr val="00000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flat" cmpd="sng" algn="ctr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0"/>
              <c:layout>
                <c:manualLayout>
                  <c:x val="0.00128589798542649"/>
                  <c:y val="-0.0099618482407799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128589798542649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00233149639677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117873981997428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246463780540077"/>
                  <c:y val="-0.014624841034336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375053579082726"/>
                  <c:y val="-0.0169563374311149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00492927561080154"/>
                  <c:y val="-0.01716829164900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375053579082726"/>
                  <c:y val="-0.014836795252225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0.017168291649003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375053579082726"/>
                  <c:y val="-0.01462484103433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cap="none" normalizeH="0" baseline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000" b="0" u="none" strike="noStrike" cap="none" normalizeH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8.5</a:t>
                    </a:r>
                    <a:endParaRPr sz="1000" b="0" i="0" u="none" strike="noStrike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[月报趋势图.xls]工业增加值!$B$3:$L$3</c:f>
              <c:strCache>
                <c:ptCount val="11"/>
                <c:pt idx="0" c:formatCode="m&quot;月&quot;d&quot;日&quot;">
                  <c:v>1-2月</c:v>
                </c:pt>
                <c:pt idx="1">
                  <c:v>1-3月</c:v>
                </c:pt>
                <c:pt idx="2" c:formatCode="m&quot;月&quot;d&quot;日&quot;">
                  <c:v>1-4月</c:v>
                </c:pt>
                <c:pt idx="3">
                  <c:v>1-5月</c:v>
                </c:pt>
                <c:pt idx="4" c:formatCode="m&quot;月&quot;d&quot;日&quot;">
                  <c:v>1-6月</c:v>
                </c:pt>
                <c:pt idx="5">
                  <c:v>1-7月</c:v>
                </c:pt>
                <c:pt idx="6" c:formatCode="m&quot;月&quot;d&quot;日&quot;">
                  <c:v>1-8月</c:v>
                </c:pt>
                <c:pt idx="7">
                  <c:v>1-9月</c:v>
                </c:pt>
                <c:pt idx="8" c:formatCode="m&quot;月&quot;d&quot;日&quot;">
                  <c:v>1-10月</c:v>
                </c:pt>
                <c:pt idx="9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[月报趋势图.xls]工业增加值!$B$11:$L$11</c:f>
              <c:numCache>
                <c:formatCode>General</c:formatCode>
                <c:ptCount val="11"/>
                <c:pt idx="0">
                  <c:v>8.4</c:v>
                </c:pt>
                <c:pt idx="1">
                  <c:v>9.2</c:v>
                </c:pt>
                <c:pt idx="2">
                  <c:v>8.7</c:v>
                </c:pt>
                <c:pt idx="3">
                  <c:v>8.5</c:v>
                </c:pt>
                <c:pt idx="4">
                  <c:v>8.6</c:v>
                </c:pt>
                <c:pt idx="5" c:formatCode="0.0_ ">
                  <c:v>8.6</c:v>
                </c:pt>
                <c:pt idx="6" c:formatCode="0.0_ ">
                  <c:v>8.6</c:v>
                </c:pt>
                <c:pt idx="7" c:formatCode="0.0_ ">
                  <c:v>8.5</c:v>
                </c:pt>
                <c:pt idx="8" c:formatCode="0.0_ ">
                  <c:v>8.5</c:v>
                </c:pt>
                <c:pt idx="9" c:formatCode="0.0_ ">
                  <c:v>8.6</c:v>
                </c:pt>
                <c:pt idx="10">
                  <c:v>8.8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[月报趋势图.xls]工业增加值!$A$12</c:f>
              <c:strCache>
                <c:ptCount val="1"/>
                <c:pt idx="0">
                  <c:v>2020年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circ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0218340611353712"/>
                  <c:y val="0.016620498614958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[月报趋势图.xls]工业增加值!$B$3:$L$3</c:f>
              <c:strCache>
                <c:ptCount val="11"/>
                <c:pt idx="0" c:formatCode="m&quot;月&quot;d&quot;日&quot;">
                  <c:v>1-2月</c:v>
                </c:pt>
                <c:pt idx="1">
                  <c:v>1-3月</c:v>
                </c:pt>
                <c:pt idx="2" c:formatCode="m&quot;月&quot;d&quot;日&quot;">
                  <c:v>1-4月</c:v>
                </c:pt>
                <c:pt idx="3">
                  <c:v>1-5月</c:v>
                </c:pt>
                <c:pt idx="4" c:formatCode="m&quot;月&quot;d&quot;日&quot;">
                  <c:v>1-6月</c:v>
                </c:pt>
                <c:pt idx="5">
                  <c:v>1-7月</c:v>
                </c:pt>
                <c:pt idx="6" c:formatCode="m&quot;月&quot;d&quot;日&quot;">
                  <c:v>1-8月</c:v>
                </c:pt>
                <c:pt idx="7">
                  <c:v>1-9月</c:v>
                </c:pt>
                <c:pt idx="8" c:formatCode="m&quot;月&quot;d&quot;日&quot;">
                  <c:v>1-10月</c:v>
                </c:pt>
                <c:pt idx="9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[月报趋势图.xls]工业增加值!$B$12:$L$12</c:f>
              <c:numCache>
                <c:formatCode>0.0_ </c:formatCode>
                <c:ptCount val="11"/>
                <c:pt idx="0">
                  <c:v>-1.5</c:v>
                </c:pt>
                <c:pt idx="1" c:formatCode="General">
                  <c:v>-1.3</c:v>
                </c:pt>
                <c:pt idx="2" c:formatCode="General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4455436"/>
        <c:axId val="596258206"/>
      </c:lineChart>
      <c:catAx>
        <c:axId val="374455436"/>
        <c:scaling>
          <c:orientation val="minMax"/>
        </c:scaling>
        <c:delete val="0"/>
        <c:axPos val="b"/>
        <c:majorTickMark val="in"/>
        <c:minorTickMark val="none"/>
        <c:tickLblPos val="low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596258206"/>
        <c:crossesAt val="0"/>
        <c:auto val="0"/>
        <c:lblAlgn val="ctr"/>
        <c:lblOffset val="100"/>
        <c:tickLblSkip val="1"/>
        <c:noMultiLvlLbl val="0"/>
      </c:catAx>
      <c:valAx>
        <c:axId val="596258206"/>
        <c:scaling>
          <c:orientation val="minMax"/>
          <c:max val="10"/>
          <c:min val="-2"/>
        </c:scaling>
        <c:delete val="0"/>
        <c:axPos val="l"/>
        <c:numFmt formatCode="General" sourceLinked="0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374455436"/>
        <c:crosses val="autoZero"/>
        <c:crossBetween val="between"/>
        <c:majorUnit val="2"/>
        <c:minorUnit val="1"/>
      </c:valAx>
      <c:spPr>
        <a:noFill/>
        <a:ln w="3175"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</c:legendEntry>
      <c:layout>
        <c:manualLayout>
          <c:xMode val="edge"/>
          <c:yMode val="edge"/>
          <c:x val="0.255481599443491"/>
          <c:y val="0.124405312842259"/>
          <c:w val="0.473493100944081"/>
          <c:h val="0.065843621399177"/>
        </c:manualLayout>
      </c:layout>
      <c:overlay val="0"/>
      <c:spPr>
        <a:noFill/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cap="none" spc="0" normalizeH="0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 charset="-122"/>
          <a:ea typeface="Times New Roman" panose="02020603050405020304" charset="-122"/>
          <a:cs typeface="Times New Roman" panose="020206030504050203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sz="1100" b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固定资产投资分月累计增速%</a:t>
            </a:r>
            <a:endParaRPr sz="1100" b="0" i="0" u="none" strike="noStrike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299498942803879"/>
          <c:y val="0.0067363261663516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906601032385403"/>
          <c:y val="0.195895833569177"/>
          <c:w val="0.868292050317728"/>
          <c:h val="0.727391109115402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[月报趋势图.xls]固定资产投资!$B$13</c:f>
              <c:strCache>
                <c:ptCount val="1"/>
                <c:pt idx="0">
                  <c:v>2019年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triang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Pt>
            <c:idx val="9"/>
            <c:marker>
              <c:symbol val="triangle"/>
              <c:size val="5"/>
              <c:spPr>
                <a:noFill/>
                <a:ln w="6350" cap="flat" cmpd="sng" algn="ctr">
                  <a:solidFill>
                    <a:srgbClr val="00000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rnd" cmpd="sng" algn="ctr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0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/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_);[Red]\(#,##0.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[月报趋势图.xls]固定资产投资!$C$12:$M$12</c:f>
              <c:strCache>
                <c:ptCount val="11"/>
                <c:pt idx="0" c:formatCode="m&quot;月&quot;d&quot;日&quot;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[月报趋势图.xls]固定资产投资!$C$13:$M$13</c:f>
              <c:numCache>
                <c:formatCode>General</c:formatCode>
                <c:ptCount val="11"/>
                <c:pt idx="0">
                  <c:v>8.4</c:v>
                </c:pt>
                <c:pt idx="1">
                  <c:v>8.9</c:v>
                </c:pt>
                <c:pt idx="2">
                  <c:v>9.2</c:v>
                </c:pt>
                <c:pt idx="3" c:formatCode="0.0_ ">
                  <c:v>10</c:v>
                </c:pt>
                <c:pt idx="4" c:formatCode="0.0_ ">
                  <c:v>9.9</c:v>
                </c:pt>
                <c:pt idx="5">
                  <c:v>10.6</c:v>
                </c:pt>
                <c:pt idx="6">
                  <c:v>9.9</c:v>
                </c:pt>
                <c:pt idx="7">
                  <c:v>10</c:v>
                </c:pt>
                <c:pt idx="8" c:formatCode="0.0_ ">
                  <c:v>10.6</c:v>
                </c:pt>
                <c:pt idx="9">
                  <c:v>10.9</c:v>
                </c:pt>
                <c:pt idx="10" c:formatCode="0.0_ ">
                  <c:v>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[月报趋势图.xls]固定资产投资!$B$14</c:f>
              <c:strCache>
                <c:ptCount val="1"/>
                <c:pt idx="0">
                  <c:v>2020年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circ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Pt>
            <c:idx val="1"/>
            <c:marker>
              <c:symbol val="circle"/>
              <c:size val="5"/>
              <c:spPr>
                <a:noFill/>
                <a:ln w="6350" cap="flat" cmpd="sng" algn="ctr">
                  <a:solidFill>
                    <a:srgbClr val="00000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rnd" cmpd="sng" algn="ctr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2"/>
            <c:marker>
              <c:symbol val="circle"/>
              <c:size val="5"/>
              <c:spPr>
                <a:noFill/>
                <a:ln w="6350" cap="flat" cmpd="sng" algn="ctr">
                  <a:solidFill>
                    <a:srgbClr val="00000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rnd" cmpd="sng" algn="ctr">
                <a:solidFill>
                  <a:srgbClr val="000000"/>
                </a:solidFill>
                <a:prstDash val="solid"/>
                <a:round/>
              </a:ln>
            </c:spPr>
          </c:dPt>
          <c:dPt>
            <c:idx val="3"/>
            <c:marker>
              <c:symbol val="circle"/>
              <c:size val="5"/>
              <c:spPr>
                <a:noFill/>
                <a:ln w="6350" cap="flat" cmpd="sng" algn="ctr">
                  <a:solidFill>
                    <a:srgbClr val="000000">
                      <a:alpha val="100000"/>
                    </a:srgbClr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12700" cap="rnd" cmpd="sng" algn="ctr">
                <a:solidFill>
                  <a:srgbClr val="000000"/>
                </a:solidFill>
                <a:prstDash val="solid"/>
                <a:round/>
              </a:ln>
            </c:spPr>
          </c:dPt>
          <c:dLbls>
            <c:dLbl>
              <c:idx val="0"/>
              <c:layout>
                <c:manualLayout>
                  <c:x val="-0.026205068917642"/>
                  <c:y val="0.0402677318363381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28898426323319"/>
                  <c:y val="-0.0508474576271186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73528517880661"/>
                  <c:y val="-0.0489496226799918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65613424242843"/>
                  <c:y val="-0.0340289514673845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36296116582886"/>
                  <c:y val="-0.0356586569252414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61254612546125"/>
                  <c:y val="0.0382165605095541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282186329106732"/>
                  <c:y val="-0.0308442380915883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54912317231774"/>
                  <c:y val="-0.0305935141749949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96099780608553"/>
                  <c:y val="0.0292268805719438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719557195571956"/>
                  <c:y val="-0.0286624203821656"/>
                </c:manualLayout>
              </c:layout>
              <c:numFmt formatCode="General" sourceLinked="1"/>
              <c:spPr>
                <a:noFill/>
                <a:ln w="12700" cmpd="sng">
                  <a:noFill/>
                  <a:prstDash val="solid"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 w="12700" cmpd="sng">
                <a:noFill/>
                <a:prstDash val="solid"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[月报趋势图.xls]固定资产投资!$C$12:$M$12</c:f>
              <c:strCache>
                <c:ptCount val="11"/>
                <c:pt idx="0" c:formatCode="m&quot;月&quot;d&quot;日&quot;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[月报趋势图.xls]固定资产投资!$C$14:$M$14</c:f>
              <c:numCache>
                <c:formatCode>General</c:formatCode>
                <c:ptCount val="11"/>
                <c:pt idx="0">
                  <c:v>-12.8</c:v>
                </c:pt>
                <c:pt idx="1">
                  <c:v>-6.7</c:v>
                </c:pt>
                <c:pt idx="2">
                  <c:v>-5.9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551840"/>
        <c:axId val="38786665"/>
      </c:lineChart>
      <c:catAx>
        <c:axId val="486551840"/>
        <c:scaling>
          <c:orientation val="minMax"/>
        </c:scaling>
        <c:delete val="0"/>
        <c:axPos val="b"/>
        <c:majorTickMark val="in"/>
        <c:minorTickMark val="none"/>
        <c:tickLblPos val="low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  <c:crossAx val="38786665"/>
        <c:crosses val="autoZero"/>
        <c:auto val="0"/>
        <c:lblAlgn val="ctr"/>
        <c:lblOffset val="100"/>
        <c:tickLblSkip val="1"/>
        <c:noMultiLvlLbl val="0"/>
      </c:catAx>
      <c:valAx>
        <c:axId val="38786665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486551840"/>
        <c:crosses val="autoZero"/>
        <c:crossBetween val="between"/>
      </c:valAx>
      <c:spPr>
        <a:noFill/>
        <a:ln w="3175"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308973745194149"/>
          <c:y val="0.0981645482288281"/>
          <c:w val="0.384762441539864"/>
          <c:h val="0.072072190962273"/>
        </c:manualLayout>
      </c:layout>
      <c:overlay val="0"/>
      <c:spPr>
        <a:noFill/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cap="none" spc="0" normalizeH="0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900" b="0" i="0" u="none" strike="noStrike" kern="1200" cap="none" spc="0" normalizeH="0" baseline="0">
          <a:solidFill>
            <a:srgbClr val="000000"/>
          </a:solidFill>
          <a:uFill>
            <a:solidFill>
              <a:srgbClr val="000000"/>
            </a:solidFill>
          </a:u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  <a:r>
              <a:rPr sz="1100" b="0">
                <a:solidFill>
                  <a:srgbClr val="000000">
                    <a:alpha val="100000"/>
                  </a:srgbClr>
                </a:solidFill>
                <a:uFillTx/>
              </a:rPr>
              <a:t>规模以上工业利润分月累计增速 %</a:t>
            </a:r>
            <a:endParaRPr sz="1100" b="0" i="0" u="none" strike="noStrike" baseline="0">
              <a:solidFill>
                <a:srgbClr val="000000">
                  <a:alpha val="100000"/>
                </a:srgbClr>
              </a:solidFill>
              <a:uFillTx/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76498358214664"/>
          <c:y val="0.032991148784191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398406374502"/>
          <c:y val="0.26735514972064"/>
          <c:w val="0.82375"/>
          <c:h val="0.58425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[月报趋势图.xls]工业增加值!$A$40</c:f>
              <c:strCache>
                <c:ptCount val="1"/>
                <c:pt idx="0">
                  <c:v>2019年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triangle"/>
            <c:size val="5"/>
            <c:spPr>
              <a:noFill/>
              <a:ln w="6350" cap="flat" cmpd="sng" algn="ctr">
                <a:solidFill>
                  <a:srgbClr val="000000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110619469026549"/>
                  <c:y val="-0.0031928480204342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cap="none" normalizeH="0" baseline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defRPr>
                    </a:pPr>
                    <a:r>
                      <a:rPr sz="1000" b="0" u="none" strike="noStrike" cap="none" normalizeH="0">
                        <a:solidFill>
                          <a:srgbClr val="000000"/>
                        </a:solidFill>
                        <a:uFill>
                          <a:solidFill>
                            <a:srgbClr val="000000"/>
                          </a:solidFill>
                        </a:uFill>
                        <a:latin typeface="Times New Roman" panose="02020603050405020304" charset="0"/>
                        <a:ea typeface="Times New Roman" panose="02020603050405020304" charset="0"/>
                        <a:cs typeface="Times New Roman" panose="02020603050405020304" charset="0"/>
                        <a:sym typeface="Times New Roman" panose="02020603050405020304" charset="0"/>
                      </a:rPr>
                      <a:t>-17.5</a:t>
                    </a:r>
                    <a:endPara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val>
            <c:numRef>
              <c:f>[月报趋势图.xls]工业增加值!$B$40:$L$40</c:f>
              <c:numCache>
                <c:formatCode>0.0_ </c:formatCode>
                <c:ptCount val="11"/>
                <c:pt idx="0">
                  <c:v>43.6</c:v>
                </c:pt>
                <c:pt idx="1">
                  <c:v>-5.1</c:v>
                </c:pt>
                <c:pt idx="2">
                  <c:v>-17.5</c:v>
                </c:pt>
                <c:pt idx="3">
                  <c:v>-19</c:v>
                </c:pt>
                <c:pt idx="4">
                  <c:v>-16.7</c:v>
                </c:pt>
                <c:pt idx="5">
                  <c:v>-20.9</c:v>
                </c:pt>
                <c:pt idx="6">
                  <c:v>-16.5</c:v>
                </c:pt>
                <c:pt idx="7">
                  <c:v>-16.4</c:v>
                </c:pt>
                <c:pt idx="8">
                  <c:v>-15.8</c:v>
                </c:pt>
                <c:pt idx="9">
                  <c:v>-10.7</c:v>
                </c:pt>
                <c:pt idx="10">
                  <c:v>-7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[月报趋势图.xls]工业增加值!$A$41</c:f>
              <c:strCache>
                <c:ptCount val="1"/>
                <c:pt idx="0">
                  <c:v>2020年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circle"/>
            <c:size val="5"/>
            <c:spPr>
              <a:noFill/>
              <a:ln w="6350" cap="flat" cmpd="sng" algn="ctr">
                <a:solidFill>
                  <a:srgbClr val="000000"/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0.0521704650591945"/>
                  <c:y val="0.042209118879597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438247011952191"/>
                  <c:y val="0.0740856267450148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13331959612611"/>
                  <c:y val="0.02181335356600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22003034901365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240895295902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23696682464455"/>
                  <c:y val="0.0240895295902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113331959612611"/>
                  <c:y val="0.02408952959028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0.02181335356600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3696682464455"/>
                  <c:y val="0.021813353566009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123634865031939"/>
                  <c:y val="0.00872534142640364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0123634865031939"/>
                  <c:y val="0.017450682852807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val>
            <c:numRef>
              <c:f>[月报趋势图.xls]工业增加值!$B$41:$L$41</c:f>
              <c:numCache>
                <c:formatCode>0.0_ </c:formatCode>
                <c:ptCount val="11"/>
                <c:pt idx="0">
                  <c:v>-59.9</c:v>
                </c:pt>
                <c:pt idx="1" c:formatCode="General">
                  <c:v>-32.1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7984225"/>
        <c:axId val="853385987"/>
      </c:lineChart>
      <c:catAx>
        <c:axId val="407984225"/>
        <c:scaling>
          <c:orientation val="minMax"/>
        </c:scaling>
        <c:delete val="0"/>
        <c:axPos val="b"/>
        <c:majorTickMark val="in"/>
        <c:minorTickMark val="none"/>
        <c:tickLblPos val="low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  <c:crossAx val="853385987"/>
        <c:crosses val="autoZero"/>
        <c:auto val="1"/>
        <c:lblAlgn val="ctr"/>
        <c:lblOffset val="100"/>
        <c:tickLblSkip val="1"/>
        <c:noMultiLvlLbl val="0"/>
      </c:catAx>
      <c:valAx>
        <c:axId val="853385987"/>
        <c:scaling>
          <c:orientation val="minMax"/>
          <c:max val="60"/>
          <c:min val="-60"/>
        </c:scaling>
        <c:delete val="0"/>
        <c:axPos val="l"/>
        <c:numFmt formatCode="General" sourceLinked="0"/>
        <c:majorTickMark val="in"/>
        <c:minorTickMark val="none"/>
        <c:tickLblPos val="nextTo"/>
        <c:spPr>
          <a:ln w="3175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407984225"/>
        <c:crosses val="autoZero"/>
        <c:crossBetween val="between"/>
      </c:valAx>
      <c:spPr>
        <a:noFill/>
        <a:ln w="3175">
          <a:noFill/>
        </a:ln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宋体" panose="02010600030101010101" charset="-122"/>
                <a:cs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318005350859336"/>
          <c:y val="0.124295723323831"/>
          <c:w val="0.4065"/>
          <c:h val="0.0675"/>
        </c:manualLayout>
      </c:layout>
      <c:overlay val="0"/>
      <c:spPr>
        <a:noFill/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cap="none" spc="0" normalizeH="0" baseline="0">
              <a:solidFill>
                <a:srgbClr val="000000">
                  <a:alpha val="100000"/>
                </a:srgbClr>
              </a:solidFill>
              <a:uFill>
                <a:solidFill>
                  <a:srgbClr val="000000">
                    <a:alpha val="100000"/>
                  </a:srgbClr>
                </a:solidFill>
              </a:u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47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r>
              <a:rPr sz="1100" b="0">
                <a:solidFill>
                  <a:srgbClr val="000000">
                    <a:alpha val="100000"/>
                  </a:srgbClr>
                </a:solidFill>
                <a:uFillTx/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rPr>
              <a:t>社会消费品零售总额分月累计增速 %</a:t>
            </a:r>
            <a:endParaRPr sz="1100" b="0" i="0" u="none" strike="noStrike" baseline="0">
              <a:solidFill>
                <a:srgbClr val="000000">
                  <a:alpha val="100000"/>
                </a:srgbClr>
              </a:solidFill>
              <a:uFillTx/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endParaRPr>
          </a:p>
        </c:rich>
      </c:tx>
      <c:layout>
        <c:manualLayout>
          <c:xMode val="edge"/>
          <c:yMode val="edge"/>
          <c:x val="0.280178107320298"/>
          <c:y val="0.0082236842105263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0741786160457737"/>
          <c:y val="0.301891419879783"/>
          <c:w val="0.89225"/>
          <c:h val="0.53275"/>
        </c:manualLayout>
      </c:layout>
      <c:lineChart>
        <c:grouping val="standard"/>
        <c:varyColors val="0"/>
        <c:ser>
          <c:idx val="0"/>
          <c:order val="0"/>
          <c:tx>
            <c:strRef>
              <c:f>[月报趋势图.xls]固定资产投资!$A$44</c:f>
              <c:strCache>
                <c:ptCount val="1"/>
                <c:pt idx="0">
                  <c:v>2019年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triang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宋体" panose="02010600030101010101" charset="-122"/>
                      <a:cs typeface="宋体" panose="02010600030101010101" charset="-122"/>
                      <a:sym typeface="Times New Roman" panose="02020603050405020304" charset="0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[月报趋势图.xls]固定资产投资!$B$43:$L$43</c:f>
              <c:strCache>
                <c:ptCount val="11"/>
                <c:pt idx="0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[月报趋势图.xls]固定资产投资!$B$44:$L$44</c:f>
              <c:numCache>
                <c:formatCode>General</c:formatCode>
                <c:ptCount val="11"/>
                <c:pt idx="0">
                  <c:v>10.6</c:v>
                </c:pt>
                <c:pt idx="1" c:formatCode="0.0_ ">
                  <c:v>11</c:v>
                </c:pt>
                <c:pt idx="2" c:formatCode="0.0_ ">
                  <c:v>10.8</c:v>
                </c:pt>
                <c:pt idx="3">
                  <c:v>10.9</c:v>
                </c:pt>
                <c:pt idx="4">
                  <c:v>11.2</c:v>
                </c:pt>
                <c:pt idx="5" c:formatCode="0.0_ ">
                  <c:v>11</c:v>
                </c:pt>
                <c:pt idx="6">
                  <c:v>10.9</c:v>
                </c:pt>
                <c:pt idx="7" c:formatCode="0.0_ ">
                  <c:v>11</c:v>
                </c:pt>
                <c:pt idx="8" c:formatCode="0.0_ ">
                  <c:v>11</c:v>
                </c:pt>
                <c:pt idx="9" c:formatCode="0.0_ ">
                  <c:v>11</c:v>
                </c:pt>
                <c:pt idx="10" c:formatCode="0.0_ ">
                  <c:v>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[月报趋势图.xls]固定资产投资!$A$45</c:f>
              <c:strCache>
                <c:ptCount val="1"/>
                <c:pt idx="0">
                  <c:v>2020年</c:v>
                </c:pt>
              </c:strCache>
            </c:strRef>
          </c:tx>
          <c:spPr>
            <a:ln w="12700" cap="rnd" cmpd="sng" algn="ctr">
              <a:solidFill>
                <a:srgbClr val="000000"/>
              </a:solidFill>
              <a:prstDash val="solid"/>
              <a:round/>
            </a:ln>
          </c:spPr>
          <c:marker>
            <c:symbol val="circle"/>
            <c:size val="5"/>
            <c:spPr>
              <a:noFill/>
              <a:ln w="6350" cap="flat" cmpd="sng" algn="ctr">
                <a:solidFill>
                  <a:srgbClr val="000000">
                    <a:alpha val="100000"/>
                  </a:srgbClr>
                </a:solidFill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430306746866648"/>
                  <c:y val="-0.066867517380780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37916988066383"/>
                  <c:y val="-0.067083730391438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20197209350711"/>
                  <c:y val="-0.061071327188095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65060815645123"/>
                  <c:y val="-0.0442182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553621114556"/>
                  <c:y val="-0.0319719141167083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363214484458224"/>
                  <c:y val="-0.056075908284311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56012452301455"/>
                  <c:y val="0.035941605849582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82905815645123"/>
                  <c:y val="0.023764432451253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411399952301455"/>
                  <c:y val="0.027855153203342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482947770093012"/>
                  <c:y val="0.0278551532033426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143095635583115"/>
                  <c:y val="-0.00696378830083565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cap="none" spc="0" normalizeH="0" baseline="0">
                      <a:solidFill>
                        <a:srgbClr val="000000"/>
                      </a:solidFill>
                      <a:uFill>
                        <a:solidFill>
                          <a:srgbClr val="000000"/>
                        </a:solidFill>
                      </a:u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rgbClr val="000000"/>
                    </a:solidFill>
                    <a:uFill>
                      <a:solidFill>
                        <a:srgbClr val="000000"/>
                      </a:solidFill>
                    </a:u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[月报趋势图.xls]固定资产投资!$B$43:$L$43</c:f>
              <c:strCache>
                <c:ptCount val="11"/>
                <c:pt idx="0">
                  <c:v>1-2月</c:v>
                </c:pt>
                <c:pt idx="1" c:formatCode="m&quot;月&quot;d&quot;日&quot;">
                  <c:v>1-3月</c:v>
                </c:pt>
                <c:pt idx="2" c:formatCode="m&quot;月&quot;d&quot;日&quot;">
                  <c:v>1-4月</c:v>
                </c:pt>
                <c:pt idx="3" c:formatCode="m&quot;月&quot;d&quot;日&quot;">
                  <c:v>1-5月</c:v>
                </c:pt>
                <c:pt idx="4" c:formatCode="m&quot;月&quot;d&quot;日&quot;">
                  <c:v>1-6月</c:v>
                </c:pt>
                <c:pt idx="5" c:formatCode="m&quot;月&quot;d&quot;日&quot;">
                  <c:v>1-7月</c:v>
                </c:pt>
                <c:pt idx="6" c:formatCode="m&quot;月&quot;d&quot;日&quot;">
                  <c:v>1-8月</c:v>
                </c:pt>
                <c:pt idx="7" c:formatCode="m&quot;月&quot;d&quot;日&quot;">
                  <c:v>1-9月</c:v>
                </c:pt>
                <c:pt idx="8" c:formatCode="m&quot;月&quot;d&quot;日&quot;">
                  <c:v>1-10月</c:v>
                </c:pt>
                <c:pt idx="9" c:formatCode="m&quot;月&quot;d&quot;日&quot;">
                  <c:v>1-11月</c:v>
                </c:pt>
                <c:pt idx="10" c:formatCode="m&quot;月&quot;d&quot;日&quot;">
                  <c:v>1-12月</c:v>
                </c:pt>
              </c:strCache>
            </c:strRef>
          </c:cat>
          <c:val>
            <c:numRef>
              <c:f>[月报趋势图.xls]固定资产投资!$B$45:$L$45</c:f>
              <c:numCache>
                <c:formatCode>General</c:formatCode>
                <c:ptCount val="11"/>
                <c:pt idx="0">
                  <c:v>-25.8</c:v>
                </c:pt>
                <c:pt idx="1">
                  <c:v>-21.6</c:v>
                </c:pt>
                <c:pt idx="2">
                  <c:v>-16.7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5082745"/>
        <c:axId val="787940735"/>
      </c:lineChart>
      <c:dateAx>
        <c:axId val="685082745"/>
        <c:scaling>
          <c:orientation val="minMax"/>
        </c:scaling>
        <c:delete val="0"/>
        <c:axPos val="b"/>
        <c:numFmt formatCode="#,##0.00_);[Red]\(#,##0.00\)" sourceLinked="0"/>
        <c:majorTickMark val="in"/>
        <c:minorTickMark val="none"/>
        <c:tickLblPos val="low"/>
        <c:spPr>
          <a:ln w="12700" cap="sq" cmpd="sng" algn="ctr">
            <a:solidFill>
              <a:srgbClr val="000000"/>
            </a:solidFill>
            <a:prstDash val="solid"/>
            <a:miter lim="800000"/>
          </a:ln>
        </c:spPr>
        <c:txPr>
          <a:bodyPr rot="0" spcFirstLastPara="0" vertOverflow="ellipsis" vert="horz" wrap="square" anchor="ctr" anchorCtr="1" forceAA="0"/>
          <a:lstStyle/>
          <a:p>
            <a:pPr>
              <a:defRPr lang="zh-CN" sz="800" b="0" i="0" u="none" strike="noStrike" kern="1200" cap="none" spc="0" normalizeH="0" baseline="0">
                <a:solidFill>
                  <a:srgbClr val="000000">
                    <a:alpha val="100000"/>
                  </a:srgbClr>
                </a:solidFill>
                <a:uFill>
                  <a:solidFill>
                    <a:srgbClr val="000000">
                      <a:alpha val="100000"/>
                    </a:srgbClr>
                  </a:solidFill>
                </a:u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</a:defRPr>
            </a:pPr>
          </a:p>
        </c:txPr>
        <c:crossAx val="787940735"/>
        <c:crosses val="autoZero"/>
        <c:auto val="1"/>
        <c:lblAlgn val="ctr"/>
        <c:lblOffset val="100"/>
        <c:baseTimeUnit val="days"/>
      </c:dateAx>
      <c:valAx>
        <c:axId val="787940735"/>
        <c:scaling>
          <c:orientation val="minMax"/>
          <c:max val="15"/>
          <c:min val="-30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>
                <a:alpha val="100000"/>
              </a:srgbClr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rgbClr val="000000">
                    <a:alpha val="100000"/>
                  </a:srgbClr>
                </a:solidFill>
                <a:latin typeface="Times New Roman" panose="02020603050405020304" charset="-122"/>
                <a:ea typeface="Times New Roman" panose="02020603050405020304" charset="-122"/>
                <a:cs typeface="Times New Roman" panose="02020603050405020304" charset="-122"/>
              </a:defRPr>
            </a:pPr>
          </a:p>
        </c:txPr>
        <c:crossAx val="685082745"/>
        <c:crosses val="autoZero"/>
        <c:crossBetween val="between"/>
        <c:majorUnit val="5"/>
        <c:minorUnit val="0.5"/>
      </c:valAx>
      <c:spPr>
        <a:noFill/>
        <a:ln w="3175">
          <a:noFill/>
        </a:ln>
      </c:spPr>
    </c:plotArea>
    <c:legend>
      <c:legendPos val="r"/>
      <c:layout>
        <c:manualLayout>
          <c:xMode val="edge"/>
          <c:yMode val="edge"/>
          <c:x val="0.323352510460251"/>
          <c:y val="0.110745614035088"/>
          <c:w val="0.39"/>
          <c:h val="0.087"/>
        </c:manualLayout>
      </c:layout>
      <c:overlay val="0"/>
      <c:spPr>
        <a:noFill/>
        <a:ln w="3175">
          <a:solidFill>
            <a:srgbClr val="000000">
              <a:alpha val="100000"/>
            </a:srgbClr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1100" b="0" i="0" u="none" strike="noStrike" kern="1200" baseline="0">
              <a:solidFill>
                <a:srgbClr val="000000">
                  <a:alpha val="100000"/>
                </a:srgbClr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</c:spPr>
  <c:txPr>
    <a:bodyPr rot="0" wrap="square" anchor="ctr" anchorCtr="1"/>
    <a:lstStyle/>
    <a:p>
      <a:pPr>
        <a:defRPr lang="zh-CN" sz="1575" b="0" i="0" u="none" strike="noStrike" baseline="0">
          <a:solidFill>
            <a:srgbClr val="000000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3344</Words>
  <Characters>19063</Characters>
  <Lines>158</Lines>
  <Paragraphs>44</Paragraphs>
  <TotalTime>0</TotalTime>
  <ScaleCrop>false</ScaleCrop>
  <LinksUpToDate>false</LinksUpToDate>
  <CharactersWithSpaces>22363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2018-10-24T09:33:00Z</dcterms:created>
  <dc:creator>raizhao</dc:creator>
  <cp:lastModifiedBy>ps</cp:lastModifiedBy>
  <cp:lastPrinted>2020-05-21T01:40:00Z</cp:lastPrinted>
  <dcterms:modified xsi:type="dcterms:W3CDTF">2020-05-28T00:27:25Z</dcterms:modified>
  <dc:title>1-  月全市经济运行简析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