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黑体" w:cs="黑体"/>
          <w:sz w:val="32"/>
          <w:szCs w:val="32"/>
        </w:rPr>
      </w:pPr>
      <w:r>
        <w:rPr>
          <w:rFonts w:hint="eastAsia" w:ascii="宋体" w:hAnsi="宋体" w:eastAsia="黑体" w:cs="黑体"/>
          <w:sz w:val="32"/>
          <w:szCs w:val="32"/>
        </w:rPr>
        <w:t>附件3</w:t>
      </w:r>
    </w:p>
    <w:p>
      <w:pPr>
        <w:spacing w:line="600" w:lineRule="exact"/>
        <w:jc w:val="center"/>
        <w:rPr>
          <w:rFonts w:ascii="宋体" w:hAnsi="宋体" w:eastAsia="方正小标宋简体" w:cs="方正小标宋简体"/>
          <w:sz w:val="44"/>
          <w:szCs w:val="44"/>
        </w:rPr>
      </w:pPr>
      <w:bookmarkStart w:id="0" w:name="_GoBack"/>
      <w:r>
        <w:rPr>
          <w:rFonts w:hint="eastAsia" w:ascii="宋体" w:hAnsi="宋体" w:eastAsia="方正小标宋简体" w:cs="方正小标宋简体"/>
          <w:sz w:val="44"/>
          <w:szCs w:val="44"/>
        </w:rPr>
        <w:t>节能监察回头看问题汇总清单</w:t>
      </w:r>
      <w:bookmarkEnd w:id="0"/>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5"/>
        <w:gridCol w:w="3424"/>
        <w:gridCol w:w="3473"/>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Header/>
          <w:jc w:val="center"/>
        </w:trPr>
        <w:tc>
          <w:tcPr>
            <w:tcW w:w="465" w:type="dxa"/>
            <w:vAlign w:val="center"/>
          </w:tcPr>
          <w:p>
            <w:pPr>
              <w:pStyle w:val="2"/>
              <w:spacing w:before="0" w:line="320" w:lineRule="exact"/>
              <w:ind w:left="0"/>
              <w:jc w:val="center"/>
              <w:rPr>
                <w:rFonts w:hint="default" w:eastAsia="黑体" w:cs="黑体"/>
                <w:sz w:val="21"/>
                <w:szCs w:val="21"/>
              </w:rPr>
            </w:pPr>
            <w:r>
              <w:rPr>
                <w:rFonts w:eastAsia="黑体" w:cs="黑体"/>
                <w:sz w:val="21"/>
                <w:szCs w:val="21"/>
              </w:rPr>
              <w:t>序号</w:t>
            </w:r>
          </w:p>
        </w:tc>
        <w:tc>
          <w:tcPr>
            <w:tcW w:w="3424" w:type="dxa"/>
            <w:vAlign w:val="center"/>
          </w:tcPr>
          <w:p>
            <w:pPr>
              <w:pStyle w:val="2"/>
              <w:spacing w:before="0" w:line="320" w:lineRule="exact"/>
              <w:ind w:left="0"/>
              <w:jc w:val="center"/>
              <w:rPr>
                <w:rFonts w:hint="default" w:eastAsia="黑体" w:cs="黑体"/>
                <w:sz w:val="21"/>
                <w:szCs w:val="21"/>
              </w:rPr>
            </w:pPr>
            <w:r>
              <w:rPr>
                <w:rFonts w:eastAsia="黑体" w:cs="黑体"/>
                <w:sz w:val="21"/>
                <w:szCs w:val="21"/>
              </w:rPr>
              <w:t>节能监察回头看企业/</w:t>
            </w:r>
          </w:p>
          <w:p>
            <w:pPr>
              <w:pStyle w:val="2"/>
              <w:spacing w:before="0" w:line="320" w:lineRule="exact"/>
              <w:ind w:left="0"/>
              <w:jc w:val="center"/>
              <w:rPr>
                <w:rFonts w:hint="default" w:eastAsia="黑体" w:cs="黑体"/>
                <w:sz w:val="21"/>
                <w:szCs w:val="21"/>
              </w:rPr>
            </w:pPr>
            <w:r>
              <w:rPr>
                <w:rFonts w:eastAsia="黑体" w:cs="黑体"/>
                <w:sz w:val="21"/>
                <w:szCs w:val="21"/>
              </w:rPr>
              <w:t>项目名称</w:t>
            </w:r>
          </w:p>
        </w:tc>
        <w:tc>
          <w:tcPr>
            <w:tcW w:w="3473" w:type="dxa"/>
            <w:vAlign w:val="center"/>
          </w:tcPr>
          <w:p>
            <w:pPr>
              <w:pStyle w:val="2"/>
              <w:spacing w:before="0" w:line="320" w:lineRule="exact"/>
              <w:ind w:left="0"/>
              <w:jc w:val="center"/>
              <w:rPr>
                <w:rFonts w:hint="default" w:eastAsia="黑体" w:cs="黑体"/>
                <w:sz w:val="21"/>
                <w:szCs w:val="21"/>
              </w:rPr>
            </w:pPr>
            <w:r>
              <w:rPr>
                <w:rFonts w:eastAsia="黑体" w:cs="黑体"/>
                <w:sz w:val="21"/>
                <w:szCs w:val="21"/>
              </w:rPr>
              <w:t>能效对标/节能措施专项落实情况</w:t>
            </w:r>
          </w:p>
        </w:tc>
        <w:tc>
          <w:tcPr>
            <w:tcW w:w="1709" w:type="dxa"/>
            <w:vAlign w:val="center"/>
          </w:tcPr>
          <w:p>
            <w:pPr>
              <w:pStyle w:val="2"/>
              <w:spacing w:before="0" w:line="320" w:lineRule="exact"/>
              <w:ind w:left="0"/>
              <w:jc w:val="center"/>
              <w:rPr>
                <w:rFonts w:hint="default" w:eastAsia="黑体" w:cs="黑体"/>
                <w:sz w:val="21"/>
                <w:szCs w:val="21"/>
              </w:rPr>
            </w:pPr>
            <w:r>
              <w:rPr>
                <w:rFonts w:eastAsia="黑体" w:cs="黑体"/>
                <w:sz w:val="21"/>
                <w:szCs w:val="21"/>
              </w:rPr>
              <w:t>整改要求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1</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河南济源钢铁（集团）有限公司1#烧结机装备大型化升级改造工程项目</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已根据能效对标报告存在问题进行整改完善。</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2</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河南济源钢铁（集团）有限公司2#高炉升级改造工程项目</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已根据能效对标报告存在问题进行整改，其中两台变压器因生产不能中断等原因计划在年底大修时整改。</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3</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河南济源钢铁（集团）有限公司年产50万吨特殊钢精品棒材工程项目</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已根据能效对标报告存在问题进行整改完善。</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4</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河南济源钢铁（集团）有限公司无组织超低排放改造项目</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已根据能效对标问题整改完成。</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5</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河南济源钢铁（集团）有限公司转炉除尘系统超低排放改造项目</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已根据能效对标问题整改完成。</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6</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河南济源钢铁（集团）有限公司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企业已根据2021年节能监察提出的淘汰电机进行更换。</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7</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河南金利金铅集团有限公司含铅废物熔炼及配套电解项目</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能源计量、统计管理问题已经整改完善，设备管理问题已针对能效对标报告中的低能效设备电机制定能效提升计划，预计在2023年12月整改完成。</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8</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济源市金康达实业有限公司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企业已根据2021年节能监察提出的Y2淘汰电机进行更换，但更换后设备电机能效等级不足3级。</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限期整改，完善设备配置。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9</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河南国泰铂固科技有限公司年生产10万吨紧固件项目</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已根据能效对标提出的问题和建议进行整改。</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10</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河南济钢精品钢材有限公司年预处理15万吨高强度基础件用特殊钢棒线材生产线项目</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已根据能效对标提出的问题和建议进行整改。本次监察发现的其他问题：1.缺少用水和天然气计量器具；2.存在不足三级能效的设备；存在淘汰落后设备（冷凝水、循环水泵）；3.能源负责人无中级职称。</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kern w:val="2"/>
                <w:sz w:val="21"/>
                <w:szCs w:val="21"/>
              </w:rPr>
              <w:t>限期整改：完善计量器具配备和设备配置；完善职称提升。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11</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济源市金峰耐火材料有限公司</w:t>
            </w:r>
          </w:p>
        </w:tc>
        <w:tc>
          <w:tcPr>
            <w:tcW w:w="3473" w:type="dxa"/>
            <w:vAlign w:val="center"/>
          </w:tcPr>
          <w:p>
            <w:pPr>
              <w:spacing w:line="320" w:lineRule="exact"/>
              <w:rPr>
                <w:rFonts w:ascii="宋体" w:hAnsi="宋体" w:eastAsia="仿宋_GB2312" w:cs="仿宋_GB2312"/>
                <w:szCs w:val="21"/>
              </w:rPr>
            </w:pPr>
            <w:r>
              <w:rPr>
                <w:rFonts w:hint="eastAsia" w:ascii="宋体" w:hAnsi="宋体" w:eastAsia="仿宋_GB2312" w:cs="仿宋_GB2312"/>
                <w:szCs w:val="21"/>
              </w:rPr>
              <w:t>已根据2021年节能监察提出的设备台账不完善和高耗能落后淘汰设备问题进行整改完毕。</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12</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河南中原特钢装备制造有限公司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已根据2021年节能监察提出的淘汰设备进行更换，但更换后YE2电机能效等级不足3级。</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限期整改，完善设备配置。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13</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济源市鑫众联陶瓷科技有限公司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已根据2021年节能监察提出的设备台账不完善和高耗能落后淘汰设备问题进行整改完善。</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14</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河南金瑞能源有限公司一亿立方米/年液化天然气项目</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已根据能效对标报告指出的能源管理问题进行整改和实施；已选用高效节能设备替换落后设备，项目主要用能设备已不存在高耗能设备。本次监察发现的其他问题：企业三级计量器具配备不足。</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限期整改，完善计量器具配备。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15</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济源市清源水处理有限公司</w:t>
            </w:r>
          </w:p>
        </w:tc>
        <w:tc>
          <w:tcPr>
            <w:tcW w:w="3473" w:type="dxa"/>
            <w:vAlign w:val="center"/>
          </w:tcPr>
          <w:p>
            <w:pPr>
              <w:pStyle w:val="2"/>
              <w:spacing w:before="0" w:line="320" w:lineRule="exact"/>
              <w:ind w:left="0"/>
              <w:rPr>
                <w:rFonts w:hint="default" w:eastAsia="仿宋_GB2312" w:cs="仿宋_GB2312"/>
                <w:kern w:val="2"/>
                <w:sz w:val="21"/>
                <w:szCs w:val="21"/>
              </w:rPr>
            </w:pPr>
            <w:r>
              <w:rPr>
                <w:rFonts w:eastAsia="仿宋_GB2312" w:cs="仿宋_GB2312"/>
                <w:kern w:val="2"/>
                <w:sz w:val="21"/>
                <w:szCs w:val="21"/>
              </w:rPr>
              <w:t>已对部分淘汰落后电机进行过更换，剩余淘汰电机及本次监察发现的部分工段有YE2系列高耗能电机，将在2024年年底停产不再使用。</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追踪更换或停用计划实施情况。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16</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国能济源热电有限公司</w:t>
            </w:r>
          </w:p>
        </w:tc>
        <w:tc>
          <w:tcPr>
            <w:tcW w:w="3473" w:type="dxa"/>
            <w:vAlign w:val="center"/>
          </w:tcPr>
          <w:p>
            <w:pPr>
              <w:pStyle w:val="2"/>
              <w:spacing w:before="0" w:line="320" w:lineRule="exact"/>
              <w:ind w:left="0"/>
              <w:rPr>
                <w:rFonts w:hint="default" w:eastAsia="仿宋_GB2312" w:cs="仿宋_GB2312"/>
                <w:kern w:val="2"/>
                <w:sz w:val="21"/>
                <w:szCs w:val="21"/>
              </w:rPr>
            </w:pPr>
            <w:r>
              <w:rPr>
                <w:rFonts w:eastAsia="仿宋_GB2312" w:cs="仿宋_GB2312"/>
                <w:kern w:val="2"/>
                <w:sz w:val="21"/>
                <w:szCs w:val="21"/>
              </w:rPr>
              <w:t>已根据2021年节能监察结果进行整改，选用高效节能设备替换落后设备。本次监察发现的其他问题：目前仍存在Y2/Y315/Y280系列等淘汰落后设备。</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限期整改，完善设备配置。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17</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河南顺捷环保科技有限公司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已根据2021年节能监察提出的设备台账不完善问题进行整改。本次监察发现的其他问题：主要用能设备中存在Y315L2-6电机、Y2-315M-2电机为淘汰落后电机，Y2-355M1-4、Y2-400M2-4电机、S11变压器为高耗能设备。</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限期整改，完善设备配置。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18</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济源市耀辉玻璃制品有限公司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根据2021年节能监察提出的设备台账不完善问题进行整改。本次监察发现的其他问题：1.一台SCB10变压器不足三级等效，为高耗能设备；一台除尘设备的引风机Y22系列电机为淘汰落后设备；2.能源管理负责人无中级职称，未备案。</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限期整改，完善设备配置；加强能源管理负责人的职称提升。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19</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济源市伟鑫实业有限责任公司年产12000吨氧化锌粉项目</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能效对标报告提出的完善计量器具配备未落实。</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限期整改，完善计量器具配备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20</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河南豫光金铅股份有限公司多金属双底吹冶炼系统环保提升改造项目</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已按照能效对标报告提出的整改措施完成整改。</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21</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河南省麒麟高科有限公司光伏产品废弃物资源综合利用项目</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能效对标报告提出的整改措施均未整改。</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22</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济源市欣欣实业有限公司20万吨年冶炼废渣资源综合利用技改项目</w:t>
            </w:r>
          </w:p>
        </w:tc>
        <w:tc>
          <w:tcPr>
            <w:tcW w:w="3473" w:type="dxa"/>
            <w:vMerge w:val="restart"/>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1.能效对标报告提出的整改措施均未整改；2.现场发现设备铭牌与生产线投产时间不一致的情况（生产线投产时间在2014年，电机铭牌为2022年、2023年生产出厂的YE4电机），并且企业未能在限期时间内提供购买新电机的证明资料，初步怀疑该企业有更换电机铭牌的情况。不符合《河南省重点用能单位节能管理实施办法》（豫发改环资〔2019〕215号）中第三十五条“鼓励和支持消费者购买和使用能源效率等级较高或者有节能产品认证标志的用能产品，禁止伪造、冒用节能产品认证标志。”</w:t>
            </w:r>
          </w:p>
        </w:tc>
        <w:tc>
          <w:tcPr>
            <w:tcW w:w="1709" w:type="dxa"/>
            <w:vMerge w:val="restart"/>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95"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23</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济源市欣欣实业有限公司铜回收项目装备升级改造及环保治理工程项目</w:t>
            </w:r>
          </w:p>
        </w:tc>
        <w:tc>
          <w:tcPr>
            <w:tcW w:w="3473" w:type="dxa"/>
            <w:vMerge w:val="continue"/>
            <w:vAlign w:val="center"/>
          </w:tcPr>
          <w:p>
            <w:pPr>
              <w:pStyle w:val="2"/>
              <w:spacing w:before="0" w:line="320" w:lineRule="exact"/>
              <w:ind w:left="0"/>
              <w:rPr>
                <w:rFonts w:hint="default" w:eastAsia="仿宋_GB2312" w:cs="仿宋_GB2312"/>
                <w:sz w:val="21"/>
                <w:szCs w:val="21"/>
              </w:rPr>
            </w:pPr>
          </w:p>
        </w:tc>
        <w:tc>
          <w:tcPr>
            <w:tcW w:w="1709" w:type="dxa"/>
            <w:vMerge w:val="continue"/>
            <w:vAlign w:val="center"/>
          </w:tcPr>
          <w:p>
            <w:pPr>
              <w:pStyle w:val="2"/>
              <w:spacing w:before="0" w:line="320" w:lineRule="exact"/>
              <w:ind w:left="0"/>
              <w:rPr>
                <w:rFonts w:hint="default"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24</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济源市伟鑫实业有限责任公司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企业已完成整改</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25</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济源杭氧万洋气体有限公司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企业已完成整改</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26</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济源市乾泰实业有限公司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存在高耗能淘汰落后设备在运行的情况，数量大概30余台，不符合《河南省节约能源条例》第十四条“对落后的耗能高的用能产品、设备和生产工艺实行淘汰制度，禁止使用国家明令淘汰的用能设备、生产工艺。”</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限期整改，更换淘汰落后设备。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27</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济源市泓林净水材料有限公司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存在高耗能淘汰落后设备在运行的情况，数量大概40余台，不符合《河南省节约能源条例》第十四条“对落后的耗能高的用能产品、设备和生产工艺实行淘汰制度，禁止使用国家明令淘汰的用能设备、生产工艺。”</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限期整改，更换淘汰落后设备。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28</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河南省济源煤业有限责任公司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企业已完成整改。</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29</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济源市宇润循环发展科技有限公司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企业已完成整改。</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30</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济源市万洋绿色能源有限公司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企业已完成整改。</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31</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泰山石膏（济源）有限公司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企业已完成整改。</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32</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济源双汇食品有限公司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整改不到位，部分淘汰落后设备还未更换，不符合《河南省节约能源条例》第十四条“对落后的耗能高的用能产品、设备和生产工艺实行淘汰制度，禁止使用国家明令淘汰的用能设备、生产工艺。”</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限期整改，更换淘汰落后设备。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33</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河南中沃实业有限公司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整改不到位，部分淘汰落后设备还未更换，不符合《河南省节约能源条例》第十四条“对落后的耗能高的用能产品、设备和生产工艺实行淘汰制度，禁止使用国家明令淘汰的用能设备、生产工艺。”</w:t>
            </w:r>
          </w:p>
        </w:tc>
        <w:tc>
          <w:tcPr>
            <w:tcW w:w="1709"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限期整改，更换淘汰落后设备。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34</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济源市巨能实业有限公司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企业已完成整改。</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465"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35</w:t>
            </w:r>
          </w:p>
        </w:tc>
        <w:tc>
          <w:tcPr>
            <w:tcW w:w="3424"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济源市耐火炉业有限公司</w:t>
            </w:r>
          </w:p>
        </w:tc>
        <w:tc>
          <w:tcPr>
            <w:tcW w:w="3473" w:type="dxa"/>
            <w:vAlign w:val="center"/>
          </w:tcPr>
          <w:p>
            <w:pPr>
              <w:pStyle w:val="2"/>
              <w:spacing w:before="0" w:line="320" w:lineRule="exact"/>
              <w:ind w:left="0"/>
              <w:rPr>
                <w:rFonts w:hint="default" w:eastAsia="仿宋_GB2312" w:cs="仿宋_GB2312"/>
                <w:sz w:val="21"/>
                <w:szCs w:val="21"/>
              </w:rPr>
            </w:pPr>
            <w:r>
              <w:rPr>
                <w:rFonts w:eastAsia="仿宋_GB2312" w:cs="仿宋_GB2312"/>
                <w:sz w:val="21"/>
                <w:szCs w:val="21"/>
              </w:rPr>
              <w:t>企业已完成整改。</w:t>
            </w:r>
          </w:p>
        </w:tc>
        <w:tc>
          <w:tcPr>
            <w:tcW w:w="1709" w:type="dxa"/>
            <w:vAlign w:val="center"/>
          </w:tcPr>
          <w:p>
            <w:pPr>
              <w:pStyle w:val="2"/>
              <w:spacing w:before="0" w:line="320" w:lineRule="exact"/>
              <w:ind w:left="0"/>
              <w:jc w:val="center"/>
              <w:rPr>
                <w:rFonts w:hint="default" w:eastAsia="仿宋_GB2312" w:cs="仿宋_GB2312"/>
                <w:sz w:val="21"/>
                <w:szCs w:val="21"/>
              </w:rPr>
            </w:pPr>
            <w:r>
              <w:rPr>
                <w:rFonts w:eastAsia="仿宋_GB2312" w:cs="仿宋_GB2312"/>
                <w:sz w:val="21"/>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4ZjExYjIyMmNjYjQwYWU4OWIyMjIzYWNiZmY1MWYifQ=="/>
  </w:docVars>
  <w:rsids>
    <w:rsidRoot w:val="00000000"/>
    <w:rsid w:val="2E873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1"/>
    <w:pPr>
      <w:autoSpaceDE w:val="0"/>
      <w:autoSpaceDN w:val="0"/>
      <w:adjustRightInd w:val="0"/>
      <w:spacing w:before="50"/>
      <w:ind w:left="118"/>
      <w:jc w:val="left"/>
    </w:pPr>
    <w:rPr>
      <w:rFonts w:hint="eastAsia" w:ascii="宋体" w:hAnsi="宋体" w:eastAsia="宋体" w:cs="Times New Roman"/>
      <w:kern w:val="0"/>
      <w:sz w:val="16"/>
      <w:szCs w:val="20"/>
    </w:rPr>
  </w:style>
  <w:style w:type="paragraph" w:styleId="3">
    <w:name w:val="footer"/>
    <w:basedOn w:val="1"/>
    <w:unhideWhenUsed/>
    <w:qFormat/>
    <w:uiPriority w:val="99"/>
    <w:pPr>
      <w:tabs>
        <w:tab w:val="center" w:pos="4153"/>
        <w:tab w:val="right" w:pos="8306"/>
      </w:tabs>
      <w:snapToGrid w:val="0"/>
      <w:spacing w:line="360" w:lineRule="auto"/>
      <w:ind w:firstLine="792" w:firstLineChars="200"/>
      <w:jc w:val="left"/>
    </w:pPr>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2024-01-03T09:14:55Z</dcterms:created>
  <dc:creator>Administrator</dc:creator>
  <cp:lastModifiedBy>L施冉</cp:lastModifiedBy>
  <dcterms:modified xsi:type="dcterms:W3CDTF">2024-01-03T09:15:19Z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3F46C51D10C74CEDADE4139F456C2739_12</vt:lpwstr>
  </property>
</Properties>
</file>