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黑体" w:cs="黑体"/>
          <w:sz w:val="32"/>
          <w:szCs w:val="32"/>
        </w:rPr>
        <w:t>附件2</w:t>
      </w:r>
    </w:p>
    <w:p>
      <w:pPr>
        <w:spacing w:line="600" w:lineRule="exact"/>
        <w:ind w:firstLine="562"/>
        <w:jc w:val="center"/>
        <w:rPr>
          <w:rFonts w:ascii="宋体" w:hAnsi="宋体" w:eastAsia="方正小标宋简体" w:cs="方正小标宋简体"/>
          <w:sz w:val="44"/>
          <w:szCs w:val="44"/>
        </w:rPr>
      </w:pPr>
      <w:r>
        <w:rPr>
          <w:rFonts w:hint="eastAsia" w:ascii="宋体" w:hAnsi="宋体" w:eastAsia="方正小标宋简体" w:cs="方正小标宋简体"/>
          <w:sz w:val="44"/>
          <w:szCs w:val="44"/>
        </w:rPr>
        <w:t>重点领域节能监察问题汇总清单</w:t>
      </w:r>
    </w:p>
    <w:tbl>
      <w:tblPr>
        <w:tblStyle w:val="4"/>
        <w:tblW w:w="907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5"/>
        <w:gridCol w:w="1305"/>
        <w:gridCol w:w="6025"/>
        <w:gridCol w:w="113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jc w:val="center"/>
              <w:rPr>
                <w:rFonts w:hint="default" w:eastAsia="黑体" w:cs="黑体"/>
                <w:sz w:val="21"/>
                <w:szCs w:val="21"/>
              </w:rPr>
            </w:pPr>
            <w:r>
              <w:rPr>
                <w:rFonts w:eastAsia="黑体" w:cs="黑体"/>
                <w:sz w:val="21"/>
                <w:szCs w:val="21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jc w:val="center"/>
              <w:rPr>
                <w:rFonts w:hint="default" w:eastAsia="黑体" w:cs="黑体"/>
                <w:sz w:val="21"/>
                <w:szCs w:val="21"/>
              </w:rPr>
            </w:pPr>
            <w:r>
              <w:rPr>
                <w:rFonts w:eastAsia="黑体" w:cs="黑体"/>
                <w:sz w:val="21"/>
                <w:szCs w:val="21"/>
              </w:rPr>
              <w:t>企业名称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jc w:val="center"/>
              <w:rPr>
                <w:rFonts w:hint="default" w:eastAsia="黑体" w:cs="黑体"/>
                <w:sz w:val="21"/>
                <w:szCs w:val="21"/>
              </w:rPr>
            </w:pPr>
            <w:r>
              <w:rPr>
                <w:rFonts w:eastAsia="黑体" w:cs="黑体"/>
                <w:sz w:val="21"/>
                <w:szCs w:val="21"/>
              </w:rPr>
              <w:t>重点领域专项监察落实情况及存在问题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jc w:val="center"/>
              <w:rPr>
                <w:rFonts w:hint="default" w:eastAsia="黑体" w:cs="黑体"/>
                <w:sz w:val="21"/>
                <w:szCs w:val="21"/>
              </w:rPr>
            </w:pPr>
            <w:r>
              <w:rPr>
                <w:rFonts w:eastAsia="黑体" w:cs="黑体"/>
                <w:sz w:val="21"/>
                <w:szCs w:val="21"/>
              </w:rPr>
              <w:t>整改要求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河南金利金铅集团有限公司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1.公司2022年吨铅能耗粗铅冶炼吨铅能耗值为219.189kgce/t，铅电解吨铅能耗52.497kgce/t，铅冶炼综合能耗271.686kgce/t，达到GB/T21250-2014先进值，同时达到高耗能行业重点领域能效标杆水平；铅膏能耗值为169.59kgce/t，达到GB/T25323-2010再生铅单位产品能耗先进值；2.现场未发现存在高耗能落后淘汰设备正在使用的情况；企业目前存在不足三级能效的高耗能设备：部分变压器为S11、SCB10系列，部分水泵为YE2系列电机（YE2-315S-4，YE2-315L1-4，YE2-315M-4等）。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限期整改，完善设备配置。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kern w:val="2"/>
                <w:sz w:val="21"/>
                <w:szCs w:val="21"/>
              </w:rPr>
            </w:pPr>
            <w:r>
              <w:rPr>
                <w:rFonts w:eastAsia="仿宋_GB2312" w:cs="仿宋_GB2312"/>
                <w:kern w:val="2"/>
                <w:sz w:val="21"/>
                <w:szCs w:val="21"/>
              </w:rPr>
              <w:t>济源市方升化学有限公司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1.烧碱单位产品综合能耗314.86kgce/t，对照《烧碱单位产品能源消耗限额》（GB21257-2014），能效指标达到先进值；对照《工业重点领域能效标杆水平和基准水平（2023年版）》，能效指标达到标杆水平；2.现场未发现存在高耗能落后淘汰设备正在使用的情况；现场存在不足三级能效的高耗能设备：S12系列变压器。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限期整改，完善设备配置。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kern w:val="2"/>
                <w:sz w:val="21"/>
                <w:szCs w:val="21"/>
              </w:rPr>
            </w:pPr>
            <w:r>
              <w:rPr>
                <w:rFonts w:eastAsia="仿宋_GB2312" w:cs="仿宋_GB2312"/>
                <w:kern w:val="2"/>
                <w:sz w:val="21"/>
                <w:szCs w:val="21"/>
              </w:rPr>
              <w:t>河南金源氢化化工股份有限公司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1.产品对照国家单位产品能耗限额标准无先进值、准入值、限定值。2.现场检查存在淘汰落后的YB2系列电机。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限期整改，完善设备配置。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河南中原特钢装备制造有限公司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1.电弧炉冶炼单位产品吨钢能耗为71.21kgce/t，对照“电弧炉冶炼单位产品能源消耗限额”标准（GB32050-2015）及《工业重点领域能效标杆水平和基准水平（2023年版）》”，达到限定值（基准水平），高于先进值（标杆水平）；2.企业主要用能设备中存在部分电机为高耗能淘汰落后设备Y280M-6（55kW）、Y2-355M1-6（160kW）、Y2-280S-2（75kW）等。3.存在使用不满足三级能效的SC10、SCB10、SCB11系列变压器。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限期整改，完善设备配置。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济源市金峰耐火材料有限公司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1.粘土砖单位产品能耗为93kgce/t，能效水平达到《铝硅质耐火制品单位产品能源消耗限额》（YB/T4896-2021）能耗限额1级水平；2.现场检查存在淘汰落后的Y2/Y112/Y180系列电机；3.企业的能源管理负责人没有中级职称，不符合《河南省重点用能单位节能管理实施办法》（豫发改环资〔2019〕215号）中“能源管理负责人应由具有节能专业知识、实际经验以及中级以上技术职称的人员担任，并报管理节能工作的部门备案”的要求。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1.限期整改，完善设备配置；2.加强能源管理负责人的职位要求。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河南金马能源股份有限公司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1.企业2022年焦炭单位产品综合能耗111.8kgce/t，对照《焦炭单位产品能源消耗限额标准》（GB21342-2013），企业2022年焦炭单位产品综合能耗111.8kgce/t，能效指标达到先进值；对照《工业重点领域能效标杆水平和基准水平（2023年版）》，能效指标达到基准水平；2.企业主要用能设备中存在不足三级能效的高耗能设备：YE2-315M1-4（220KW）、YE2-315L-4（160KW）电机和S11/SCB10/SCB11系列变压器。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限期整改，完善设备配置。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495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河南济源钢铁（集团）有限公司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1.2022年球团工序单位产品综合能耗23.34kgce/t，对照《粗钢单位产品能源消耗限额标准》（GB21342-2013）达到准入值；烧结工序单位产品综合能耗44.27kgce/t，</w:t>
            </w:r>
            <w:r>
              <w:rPr>
                <w:rFonts w:eastAsia="仿宋_GB2312" w:cs="仿宋_GB2312"/>
                <w:kern w:val="2"/>
                <w:sz w:val="21"/>
                <w:szCs w:val="21"/>
              </w:rPr>
              <w:t>高炉工序单位产品综合能耗355.08kgce/t，转炉工序单位产品综合能耗-30.70kgce/t，对照《粗钢单位产品能源消耗限额标准》（GB21342-2013）均达到先进值；2.用能设备中存在水泵配套电机Y315S-2（110kW）、Y315M3-4（185kW）、Y280M-2（90kW）、Y3-280M-2（90kW），为淘汰落后设备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限期整改，完善设备配置。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河南联创化工有限公司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1.2022年烧碱单位产品综合能耗312.44kgce/t，对照《烧碱单位产品能源消耗限额》（GB21257-2014），能效指标达到先进值；对照《工业重点领域能效标杆水平和基准水平（2023年版）》，达到标杆水平；2.节能管理制度不完善：①未建立节能目标责任制；②能源管理、计量管理、统计管理制度内容比较简单。不符合《河南省重点用能单位节能管理实施办法》（豫发改环资〔2019〕215号）中第六条：“重点用能单位应当建立节能目标责任制”；第十一条：“重点用能单位应当加强能源计量数据的管理和使用，建立健全能源计量管理制度，完善能源计量体系”；第十二条：“建立健全统计资料的审核、签署、交接、归档等管理制度。”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限期整改，完善节能管理制度。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723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济源市伟鑫实业有限责任公司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2022年氧化锌单位产品综合能耗1273.40kgce/t，对照《有色重金属冶炼企业单位产品能源消耗限额》（征求意见稿），能效指标达到2级限额值。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济源中联水泥有限公司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对照《水泥单位产品能源消耗限额》（GB 16780-2021），企业2022年熟料单位产品综合煤耗93.70kgce/t，达到1级限额值；熟料单位产品综合电耗53.09kWh/t，达到2级限额值；熟料单位产品综合能耗100.23kgce/t，达到2级限额值；水泥单位产品综合能耗77.56kgce/t，达到1级限额值；水泥制备工段电耗26.98kWh/t，达到2级限额值。熟料单位产品综合能耗100.23kgce/t，对照《工业重点领域能效标杆水平和基准水平（2023年版）》，达到基准水平。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河南联创净水科技有限公司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1.2022年聚氯化铝单位产品综合能耗180.23kgce/t，无可供对比的能源消耗限额标准；2.设备台账无电动机型号，现场核查电动机铭牌均已腐蚀，不能识别电机型号；3.节能管理制度不完善：①未建立节能目标责任制；②能源管理、计量管理、统计管理制度内容比较简单。不符合《河南省重点用能单位节能管理实施办法》（豫发改环资〔2019〕215号）中第六条：“重点用能单位应当建立节能目标责任制”；第十一条：“重点用能单位应当加强能源计量数据的管理和使用，建立健全能源计量管理制度，完善能源计量体系”；第十二条：“建立健全统计资料的审核、签署、交接、归档等管理制度。”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限期整改：1.完善设备台账；2.完善节能管理制度。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河南海博瑞硅材料科技有限公司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1.2022年纳米二氧化硅单位产品综合能耗527.77kgce/t，无可供对比的能源消耗限额标准；2.发现4台高耗能淘汰落后设备（包装风机电机Y132S1-2-5.5kW）在运行；3.节能管理制度不完善：①未建立节能目标责任制；②能源管理、计量管理、统计管理制度内容比较简单。不符合《河南省重点用能单位节能管理实施办法》（豫发改环资〔2019〕215号）中第六条：“重点用能单位应当建立节能目标责任制”；第十一条：“重点用能单位应当加强能源计量数据的管理和使用，建立健全能源计量管理制度，完善能源计量体系”；第十二条：“建立健全统计资料的审核、签署、交接、归档等管理制度。”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限期整改：1.更换淘汰落后设备；2.完善节能管理制度。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济源市天龙焦化有限公司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1.2022年焦炭单位产品综合能耗132.57kgce/t，对照《焦炭产品单位能源消耗限额》（GB21342-2013），达到限定值；对照《工业重点领域能效标杆水平和基准水平（2023年版）》，达到基准水平；2.存在88台高耗能淘汰落后设备在运行的情况，不符合《河南省节约能源条例》第十四条“对落后的耗能高的用能产品、设备和生产工艺实行淘汰制度，禁止使用国家明令淘汰的用能设备、生产工艺。”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限期整改，更换淘汰落后设备。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河南豫光金铅集团有限责任公司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1.2022年粗铅工艺230.48kgce/t，铅电解精炼工序71.92kgce/t，铅冶炼工艺304.70kgce/t，对照《铅冶炼企业单位产品能源消耗限额》（GB 21250-2014），均达到先进值；对照《工业重点领域能效标杆水平和基准水平（2023年版）》，粗铅工艺为基准水平，铅电解、铅冶炼达到标杆水平；2.2022年锌冶炼单位产品综合能耗904.50kgce/t，对照《锌冶炼企业单位产品能源消耗限额》（GB21249-2014），达到先进值；对照《工业重点领域能效标杆水平和基准水平（2023年版）》，达到标杆水平。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济源市丰田肥业有限公司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1.2022年粉状磷酸一铵单位产品综合能耗182.51kgce/t，对照《磷酸一铵单位产品能源消耗限额》（GB29138-2012），达到准入值；对照《工业重点领域能效标杆水平和基准水平（2023 年版）》，达到基准水平；2.节能管理制度不完善：①未建立节能目标责任制；②能源管理、计量管理、统计管理制度内容比较简单。不符合《河南省重点用能单位节能管理实施办法》（豫发改环资〔2019〕215号）中第六条：“重点用能单位应当建立节能目标责任制”；第十一条：“重点用能单位应当加强能源计量数据的管理和使用，建立健全能源计量管理制度，完善能源计量体系”；第十二条：“建立健全统计资料的审核、签署、交接、归档等管理制度。”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限期整改，完善节能管理制度。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河南凯华万洋新型材料有限公司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1.2022年岩棉单位产品综合能耗323.05kgce/t，对照《岩棉、矿渣棉及其制品单位产品能源消耗限额》（GB30183-2013），达到先进值；2.节能管理不完善：没有专职的能源管理科室和能源管理岗位，无节能岗位职责，未建立节能目标责任制，未制定能源统计分析等制度，不符合《河南省重点用能单位节能管理实施办法》（豫发改环资〔2019〕215号）的规定。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限期整改，完善节能管理制度。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济源市万洋冶炼（集团）有限公司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2022年粗铅工艺195.09kgce/t，铅电解精炼工序72.93kgce/t，铅冶炼工艺291.43kgce/t，对照《铅冶炼企业单位产品能源消耗限额》（GB 21250-2014），均达到先进值；对照《工业重点领域能效标杆水平和基准水平（2023年版）》，均达到标杆水平。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18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济源市万洋肥业有限公司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1.2022年粉状磷酸一铵单位产品综合能耗176.06kgce/t，对照《磷酸一铵单位产品能源消耗限额》（GB29138-2012），达到先进值；对照《工业重点领域能效标杆水平和基准水平（2023年版）》，达到基准水平；2.节能管理制度不完善：①未建立节能目标责任制；②能源管理、计量管理、统计管理制度内容比较简单。不符合《河南省重点用能单位节能管理实施办法》（豫发改环资〔2019〕215号）中第六条：“重点用能单位应当建立节能目标责任制”；第十一条：“重点用能单位应当加强能源计量数据的管理和使用，建立健全能源计量管理制度，完善能源计量体系”；第十二条：“建立健全统计资料的审核、签署、交接、归档等管理制度。”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限期整改，完善节能管理制度。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济源市耐火炉业有限公司</w:t>
            </w:r>
          </w:p>
        </w:tc>
        <w:tc>
          <w:tcPr>
            <w:tcW w:w="6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1.2022年粘土砖单位产品综合能耗153.74kgce/t，高铝砖单位产品综合能耗202.58kgce/t，对照《铝硅质耐火制品单位产品能源消耗限额》（YB/T4896-2021），均达到3级限额值；2.节能管理制度不完善：①未建立节能目标责任制；②未制定能源计量管理、统计管理制度内容。不符合《河南省重点用能单位节能管理实施办法》（豫发改环资〔2019〕215号）中第六条：“重点用能单位应当建立节能目标责任制”；第十一条：“重点用能单位应当加强能源计量数据的管理和使用，建立健全能源计量管理制度，完善能源计量体系”；第十二条：“建立健全统计资料的审核、签署、交接、归档等管理制度。”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before="0" w:line="300" w:lineRule="exact"/>
              <w:ind w:left="0"/>
              <w:rPr>
                <w:rFonts w:hint="default" w:eastAsia="仿宋_GB2312" w:cs="仿宋_GB2312"/>
                <w:sz w:val="21"/>
                <w:szCs w:val="21"/>
              </w:rPr>
            </w:pPr>
            <w:r>
              <w:rPr>
                <w:rFonts w:eastAsia="仿宋_GB2312" w:cs="仿宋_GB2312"/>
                <w:sz w:val="21"/>
                <w:szCs w:val="21"/>
              </w:rPr>
              <w:t>限期整改，完善节能管理制度。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ZjExYjIyMmNjYjQwYWU4OWIyMjIzYWNiZmY1MWYifQ=="/>
  </w:docVars>
  <w:rsids>
    <w:rsidRoot w:val="00000000"/>
    <w:rsid w:val="061A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1"/>
    <w:pPr>
      <w:autoSpaceDE w:val="0"/>
      <w:autoSpaceDN w:val="0"/>
      <w:adjustRightInd w:val="0"/>
      <w:spacing w:before="50"/>
      <w:ind w:left="118"/>
      <w:jc w:val="left"/>
    </w:pPr>
    <w:rPr>
      <w:rFonts w:hint="eastAsia" w:ascii="宋体" w:hAnsi="宋体" w:eastAsia="宋体" w:cs="Times New Roman"/>
      <w:kern w:val="0"/>
      <w:sz w:val="16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360" w:lineRule="auto"/>
      <w:ind w:firstLine="792" w:firstLineChars="200"/>
      <w:jc w:val="left"/>
    </w:pPr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2024-01-03T09:14:32Z</dcterms:created>
  <dc:creator>Administrator</dc:creator>
  <cp:lastModifiedBy>L施冉</cp:lastModifiedBy>
  <dcterms:modified xsi:type="dcterms:W3CDTF">2024-01-03T09:14:53Z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36B6683A2AA1446688938A39A793F9AA_12</vt:lpwstr>
  </property>
</Properties>
</file>