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32"/>
          <w:szCs w:val="32"/>
        </w:rPr>
      </w:pPr>
      <w:bookmarkStart w:id="0" w:name="_GoBack"/>
      <w:bookmarkEnd w:id="0"/>
      <w:r>
        <w:rPr>
          <w:rFonts w:hint="eastAsia" w:ascii="宋体" w:hAnsi="宋体" w:eastAsia="黑体" w:cs="黑体"/>
          <w:sz w:val="32"/>
          <w:szCs w:val="32"/>
        </w:rPr>
        <w:t>附件1</w:t>
      </w:r>
    </w:p>
    <w:p>
      <w:pPr>
        <w:spacing w:line="600" w:lineRule="exact"/>
        <w:contextualSpacing/>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节能验收专项监察问题汇总清单</w:t>
      </w:r>
    </w:p>
    <w:tbl>
      <w:tblPr>
        <w:tblStyle w:val="3"/>
        <w:tblW w:w="9071" w:type="dxa"/>
        <w:jc w:val="center"/>
        <w:tblLayout w:type="fixed"/>
        <w:tblCellMar>
          <w:top w:w="15" w:type="dxa"/>
          <w:left w:w="15" w:type="dxa"/>
          <w:bottom w:w="15" w:type="dxa"/>
          <w:right w:w="15" w:type="dxa"/>
        </w:tblCellMar>
      </w:tblPr>
      <w:tblGrid>
        <w:gridCol w:w="572"/>
        <w:gridCol w:w="2100"/>
        <w:gridCol w:w="4317"/>
        <w:gridCol w:w="2082"/>
      </w:tblGrid>
      <w:tr>
        <w:tblPrEx>
          <w:tblCellMar>
            <w:top w:w="15" w:type="dxa"/>
            <w:left w:w="15" w:type="dxa"/>
            <w:bottom w:w="15" w:type="dxa"/>
            <w:right w:w="15" w:type="dxa"/>
          </w:tblCellMar>
        </w:tblPrEx>
        <w:trPr>
          <w:cantSplit/>
          <w:trHeight w:val="454" w:hRule="exact"/>
          <w:tblHeader/>
          <w:jc w:val="center"/>
        </w:trPr>
        <w:tc>
          <w:tcPr>
            <w:tcW w:w="572" w:type="dxa"/>
            <w:tcBorders>
              <w:top w:val="single" w:color="000000" w:sz="4" w:space="0"/>
              <w:left w:val="single" w:color="000000" w:sz="4" w:space="0"/>
              <w:bottom w:val="single" w:color="auto" w:sz="4" w:space="0"/>
              <w:right w:val="single" w:color="000000" w:sz="4" w:space="0"/>
            </w:tcBorders>
            <w:vAlign w:val="center"/>
          </w:tcPr>
          <w:p>
            <w:pPr>
              <w:pStyle w:val="2"/>
              <w:autoSpaceDE/>
              <w:autoSpaceDN/>
              <w:spacing w:before="0" w:line="300" w:lineRule="exact"/>
              <w:jc w:val="center"/>
              <w:rPr>
                <w:rFonts w:hint="default" w:eastAsia="黑体" w:cs="黑体"/>
                <w:sz w:val="21"/>
                <w:szCs w:val="21"/>
              </w:rPr>
            </w:pPr>
            <w:r>
              <w:rPr>
                <w:rFonts w:eastAsia="黑体" w:cs="黑体"/>
                <w:sz w:val="21"/>
                <w:szCs w:val="21"/>
              </w:rPr>
              <w:t>序号</w:t>
            </w:r>
          </w:p>
        </w:tc>
        <w:tc>
          <w:tcPr>
            <w:tcW w:w="2100" w:type="dxa"/>
            <w:tcBorders>
              <w:top w:val="single" w:color="000000" w:sz="4" w:space="0"/>
              <w:left w:val="single" w:color="000000" w:sz="4" w:space="0"/>
              <w:bottom w:val="single" w:color="auto" w:sz="4" w:space="0"/>
              <w:right w:val="single" w:color="000000" w:sz="4" w:space="0"/>
            </w:tcBorders>
            <w:vAlign w:val="center"/>
          </w:tcPr>
          <w:p>
            <w:pPr>
              <w:pStyle w:val="2"/>
              <w:autoSpaceDE/>
              <w:autoSpaceDN/>
              <w:spacing w:before="0" w:line="300" w:lineRule="exact"/>
              <w:jc w:val="center"/>
              <w:rPr>
                <w:rFonts w:hint="default" w:eastAsia="黑体" w:cs="黑体"/>
                <w:sz w:val="21"/>
                <w:szCs w:val="21"/>
              </w:rPr>
            </w:pPr>
            <w:r>
              <w:rPr>
                <w:rFonts w:eastAsia="黑体" w:cs="黑体"/>
                <w:sz w:val="21"/>
                <w:szCs w:val="21"/>
              </w:rPr>
              <w:t>企业名称</w:t>
            </w:r>
          </w:p>
        </w:tc>
        <w:tc>
          <w:tcPr>
            <w:tcW w:w="4317" w:type="dxa"/>
            <w:tcBorders>
              <w:top w:val="single" w:color="000000" w:sz="4" w:space="0"/>
              <w:left w:val="single" w:color="000000" w:sz="4" w:space="0"/>
              <w:bottom w:val="single" w:color="auto" w:sz="4" w:space="0"/>
              <w:right w:val="single" w:color="000000" w:sz="4" w:space="0"/>
            </w:tcBorders>
            <w:vAlign w:val="center"/>
          </w:tcPr>
          <w:p>
            <w:pPr>
              <w:pStyle w:val="2"/>
              <w:autoSpaceDE/>
              <w:autoSpaceDN/>
              <w:spacing w:before="0" w:line="300" w:lineRule="exact"/>
              <w:jc w:val="center"/>
              <w:rPr>
                <w:rFonts w:hint="default" w:eastAsia="黑体" w:cs="黑体"/>
                <w:sz w:val="21"/>
                <w:szCs w:val="21"/>
              </w:rPr>
            </w:pPr>
            <w:r>
              <w:rPr>
                <w:rFonts w:eastAsia="黑体" w:cs="黑体"/>
                <w:sz w:val="21"/>
                <w:szCs w:val="21"/>
              </w:rPr>
              <w:t>节能验收专项监察落实情况及存在问题</w:t>
            </w:r>
          </w:p>
        </w:tc>
        <w:tc>
          <w:tcPr>
            <w:tcW w:w="2082" w:type="dxa"/>
            <w:tcBorders>
              <w:top w:val="single" w:color="000000" w:sz="4" w:space="0"/>
              <w:left w:val="single" w:color="000000" w:sz="4" w:space="0"/>
              <w:bottom w:val="single" w:color="auto" w:sz="4" w:space="0"/>
              <w:right w:val="single" w:color="000000" w:sz="4" w:space="0"/>
            </w:tcBorders>
            <w:vAlign w:val="center"/>
          </w:tcPr>
          <w:p>
            <w:pPr>
              <w:pStyle w:val="2"/>
              <w:autoSpaceDE/>
              <w:autoSpaceDN/>
              <w:spacing w:before="0" w:line="300" w:lineRule="exact"/>
              <w:jc w:val="center"/>
              <w:rPr>
                <w:rFonts w:hint="default" w:eastAsia="黑体" w:cs="黑体"/>
                <w:sz w:val="21"/>
                <w:szCs w:val="21"/>
              </w:rPr>
            </w:pPr>
            <w:r>
              <w:rPr>
                <w:rFonts w:eastAsia="黑体" w:cs="黑体"/>
                <w:sz w:val="21"/>
                <w:szCs w:val="21"/>
              </w:rPr>
              <w:t>整改要求</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河南省力辉钢绳制品有限公式年产12万吨精品钢丝绳项目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手续齐全，建设内容与节能审查意见批复基本一致；企业已对其节能审查意见落实情况自行验收，编制节能验收报告。天然气和蒸汽能源计量器具目前只配备进出用能单位的总表,未在各车间或工段装二级计量器具。</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限期整改，完善计量器具配备。</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河南金利金铅集团有限公司30万吨/年一般固废综合利用生产微晶粉项目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主要用能设备中存在YE2系列电机,不足三级能效，不符合节能审查批复意见中“主要生产设备选型上，选择节能型电动机”的要求。变压器实际选型为S11系列，不足三级能效，不符合节能审查批复意见中“变压器选用SBH15-M-500/10-0.4干式变压器”的要求。因项目开工不足，单位能耗和电耗指标高于节能审查意见批复值。</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河南金利金锌有限公司铅基多金属固废协同强化冶炼产业化示范及锌资源综合利用项目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变压器实际选型为SCB14/SZ20/S13/S11系列等，不符合节能审查批复意见中“项目所选用34台SBH15-M系列非晶合金变压器，其能效能级满足《三相配电变压器能效限定值及能效等级》（GB20052-2013）中1级能效”的要求。2.项目实际消耗的能源种类与已批复的节能审查意见中的能源消费结构不一致。</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限期整改：1.完善设备配置；2.核实能源消费种类，提供情况说明报告。</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4</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河南济钢热处理有限公司年产6万吨金属材料热处理及深加工扩建项目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1.三号车间缺少二级计量器具；2.三号车间矫直机有2台淘汰落后的Y225-6电机，存在不足三级能效的YE2系列电机；3.由于目前已投产的产线为配套精整线，非主要生产线，能效水平无法评价。</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限期整改，完善计量器具配备和设备配置。项目正常生产后核实能效水平及能源消费量，完善节能验收报告相关内容后重新提交。</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5</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济源市国泰微粉科技有限公司微粉生产线升级改造项目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现场存在不足三级能效的高耗能设备，如YE2系列电机。</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6</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济源杭氧国泰气体有限公司40000Nm³/h(氧）空分设备建设项目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变压器实际选型为SCB13系列，能效等级为三级，与节能报告中“变压器拟采用SCB18系列，达到《电力变压器能效限定值及能效等级》（GB20052-2020）1级能效”不符。</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7</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济源市金祥材料有限公司年产6万吨微悬浮法糊树脂项目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现场变压器型号为SCB14，与已批复的节能报告上拟建的SCB15型变压器不符。</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8</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河南金马中东能源有限公司年产180万吨焦化项目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现场变压器型号为S13/SCB13变压器，与已批复的节能报告上拟建的SCBH15型变压器不符。</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9</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河南龙兴钛业科技股份有限公司产品结构调整及优化技改项目（年产3000吨电子级二氧化钛和200吨纳米二氧化钛）</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已投产的纳米二氧化钛产品单位产品能耗、电耗未超节能批复值；企业主要用能设备中存在不足三级能效的高耗能设备：S11系列变压器。</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10</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河南济钢精品硬线有限公司10万吨高强高碳钢线材工程项目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主要用能设备中一台空气压缩机（2级能效，依据国家标准《GB19153-2019》），不符合节能审查批复意见中“项目要选用高效节能设备，主要用能设备应达到一级能效标准”要求。2.企业计量器具电力主要用能设备配备数量不足。</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限期整改，完善计量器具配备和设备配置。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11</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济源市清源水处理有限公司年产18万吨水处理剂扩建项目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核算该项目2022年单位产品综合能耗为116.18kgce/t，高于节能审查批复值92.51kgce/t。，不符合节能审查批复意见中第四条“项目单位产品（产值）能耗应达到国内先进水平”。</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制定节能措施，提高能效水平。</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12</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国友线缆集团（河南）有限公司年产120万千米电线电缆项目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存在部分设备配套小电机存在铭牌与能效等级标志上的型号不一致、电机铭牌效率与电机型号、能效等级不匹配的情况；主要用能设备中存在能效等级为2级的空压机，不符合节能审查批复意见中“主要用能设备应达到一级能效标准”要求。</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限期整改：1.核实电机铭牌效率不一致情况、核实电机铭牌效率不一致情况，提供电机型号、能效等级证明；2.完善设备配置。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13</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河南润博盛环保科技有限公司年30万吨综合养殖废弃物无害化处理中心项目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现场存在淘汰落后的Y2系列小电机；主要用能设备中存在能效等级为2级的空压机。不符合节能审查批复意见中第四条“项目要选用高效节能设备，主要用能设备应达到一级能效标准”要求。2.核算该项目2023年5-9月单位产品综合能耗（当量值）为12.42kgce/t，高于节能审查批复值较多，不符合节能审查批复意见中第四条；“项目单位产品（产值）能耗应达到国内先进水平。”</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1.限期整改，完善设备配置。2.正常生产后核实能效水平，完善节能验收报告相关内容后重新提交。</w:t>
            </w:r>
          </w:p>
        </w:tc>
      </w:tr>
      <w:tr>
        <w:tblPrEx>
          <w:tblCellMar>
            <w:top w:w="15" w:type="dxa"/>
            <w:left w:w="15" w:type="dxa"/>
            <w:bottom w:w="15" w:type="dxa"/>
            <w:right w:w="15" w:type="dxa"/>
          </w:tblCellMar>
        </w:tblPrEx>
        <w:trPr>
          <w:cantSplit/>
          <w:trHeight w:val="1503"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14</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济源市瑞麦特金属材料有限公司年产5万吨高端先进金属材料深加工项目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1.能源管理制度欠缺；2.现场存在部分设备配套小电机为YE2系列能效等级不足三级的情况；部分设备电机无铭牌，无法判断能效等级。3.已投产的一期项目计量器具不完善。</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1.完善能源管理制度；2.限期整改，完善设备配置。3.完善计量器具配备。</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15</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河南巨力钢丝绳制造有限公司年产2万吨航空钢丝绳、特种钢丝绳项目</w:t>
            </w:r>
          </w:p>
        </w:tc>
        <w:tc>
          <w:tcPr>
            <w:tcW w:w="431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00"/>
              <w:rPr>
                <w:rFonts w:ascii="宋体" w:hAnsi="宋体" w:eastAsia="仿宋_GB2312" w:cs="仿宋_GB2312"/>
                <w:szCs w:val="21"/>
              </w:rPr>
            </w:pPr>
            <w:r>
              <w:rPr>
                <w:rFonts w:hint="eastAsia" w:ascii="宋体" w:hAnsi="宋体" w:eastAsia="仿宋_GB2312" w:cs="仿宋_GB2312"/>
                <w:szCs w:val="21"/>
              </w:rPr>
              <w:t>1.项目现处于建设期，设备未完全安装调试完成，未投入生产，未进行节能验收，无节能验收报告；2.项目主要用能设备的配套配套电机为YE2系列及S11系列变压器能效等级不足3级，不符合节能审查批复意见中“主要用能设备应达到一级能效标准”要求。</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kern w:val="2"/>
                <w:sz w:val="21"/>
                <w:szCs w:val="21"/>
              </w:rPr>
            </w:pPr>
            <w:r>
              <w:rPr>
                <w:rFonts w:eastAsia="仿宋_GB2312" w:cs="仿宋_GB2312"/>
                <w:kern w:val="2"/>
                <w:sz w:val="21"/>
                <w:szCs w:val="21"/>
              </w:rPr>
              <w:t>限期整改：1.编制节能验收报告报送节能审查主管部门；2.完善设备配置。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16</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河南济钢金属制品科技有限公司年产5万吨淬火-回火弹簧钢丝项目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kern w:val="2"/>
                <w:sz w:val="21"/>
                <w:szCs w:val="21"/>
              </w:rPr>
            </w:pPr>
            <w:r>
              <w:rPr>
                <w:rFonts w:eastAsia="仿宋_GB2312" w:cs="仿宋_GB2312"/>
                <w:kern w:val="2"/>
                <w:sz w:val="21"/>
                <w:szCs w:val="21"/>
              </w:rPr>
              <w:t>1.已投产生产线缺少次级、主要用能设备电力计量表；2.无节能验收报告。</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kern w:val="2"/>
                <w:sz w:val="21"/>
                <w:szCs w:val="21"/>
              </w:rPr>
            </w:pPr>
            <w:r>
              <w:rPr>
                <w:rFonts w:eastAsia="仿宋_GB2312" w:cs="仿宋_GB2312"/>
                <w:kern w:val="2"/>
                <w:sz w:val="21"/>
                <w:szCs w:val="21"/>
              </w:rPr>
              <w:t>限期整改：1.完善计量器具配备；2.编制节能验收报告报送节能审查主管部门。</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17</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济源市鑫众联陶瓷科技有限公司二期工程改扩建年产28000吨中（高）铝微晶耐磨球窑炉技改建设项目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统计管理不到位，能耗统计和生产统计报表核算不清晰，不能够反映各产线的生产及能耗现状。</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完善能源管理制度，加强统计管理。</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18</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济源万顺钢管有限公司年产4万吨轴承钢管项目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项目缺少次级和主要用能设备电力计量器具；2.现场存在淘汰落后的Y2系列小电机；主要用能设备中存在能效等级为S11系列变压器，不足三级能效，与已批复的节能报告中使用SCB13系列变压器不符；3.核算该项目2022年单位产品综合能耗为111.59kgce/t，高于节能审查批复值60.73kgce/t较多。</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限期整改：1.完善计量器具配备；2.完善设备配置；3.制定节能措施，提高能效水平</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19</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河南济源钢铁(集团)有限公司一期炼铁产能置换装备大型化技术改造工程</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主要用能设备中部分电机能效水平未达到GB18613-2020中的1级。不符合节能审查批复意见第四条“项目要选用高效节能设备，主要用能设备应达到一级能效标准，项目单位产品（产值）能耗应达到国内先进水平。”</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20</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河南济源钢铁(集团)有限公司2#烧结机超低排放升级改造工程项目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现场存在一台小型YE2电机，能效等级不足三级，为高耗能设备。不符合节能审查批复意见第四条“项目要选用高效节能设备，主要用能设备应达到一级能效标准，项目单位产品（产值）能耗应达到国内先进水平。”</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限期整改，完善设备配置。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21</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河南联创化工有限公司年产15万吨过氧化氢溶液项目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主要用能设备计量器具配备数量不足，不符合节能审查批复意见中第五条“项目建成后，要切实加强节能管理。根据《重点用能单位节能管理办法》《用能单位能源计量器具配备和管理通则》等标准规范严格配备能源计量器具”；节能管理制度内容比较简单，不符合《河南省重点用能单位节能管理实施办法》（豫发改环资〔2019〕215号）相关规定。</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限期整改，完善计量器具配备及节能管理措施。</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22</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河南豫光金铅股份有限公司含锌铜渣资源综合利用工程技改项目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jc w:val="center"/>
              <w:rPr>
                <w:rFonts w:hint="default" w:eastAsia="仿宋_GB2312" w:cs="仿宋_GB2312"/>
                <w:sz w:val="21"/>
                <w:szCs w:val="21"/>
              </w:rPr>
            </w:pPr>
            <w:r>
              <w:rPr>
                <w:rFonts w:eastAsia="仿宋_GB2312" w:cs="仿宋_GB2312"/>
                <w:sz w:val="21"/>
                <w:szCs w:val="21"/>
              </w:rPr>
              <w:t>/</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jc w:val="center"/>
              <w:rPr>
                <w:rFonts w:hint="default" w:eastAsia="仿宋_GB2312" w:cs="仿宋_GB2312"/>
                <w:sz w:val="21"/>
                <w:szCs w:val="21"/>
              </w:rPr>
            </w:pPr>
            <w:r>
              <w:rPr>
                <w:rFonts w:eastAsia="仿宋_GB2312" w:cs="仿宋_GB2312"/>
                <w:sz w:val="21"/>
                <w:szCs w:val="21"/>
              </w:rPr>
              <w:t>/</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23</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河南豫光金铅股份有限公司年产1万吨铜箔项目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项目还在建设期，部分内容不能验收。</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项目投入生产、使用前，建设单位对节能审查意见落实情况进行验收，并报送主管部门。</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24</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济源市恒通高新材料有限公司年产12万吨生物降解塑料（PBAT）项目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主要用能设备计量器具配备数量不足，不符合节能审查批复意见中第五条“项目建成后，要切实加强节能管理。根据《重点用能单位节能管理办法》《用能单位能源计量器具配备和管理通则》等标准规范严格配备能源计量器具”；2.能效指标高于节能审查意见批复值（非正常生产），不符合节能审查批复意见中第四条“项目单位产品(产值)能耗应达到国内先进水平”；3.非正常生产，无基础数据支撑，无法核实年综合能源消费量情况。</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1.限期整改，完善计量器具配备；2.正常生产后核实能效水平，完善节能验收报告相关内容后重新提交；3.正常生产后核实能源消费量，完善节能验收报告相关内容后重新提交。</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25</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济源市恒顺新材料有限公司年产4万吨氯代碳酸乙烯酯项目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1.计量器具配备不齐，不符合《用能单位能源计量器具配备和管理通则》配备率要求；2.非正常生产，企业没有对能耗及产量数据进行统计，不能核实能效水平及年综合能源消费量情况。</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1.限期整改，完善计量器具配备；2.正常生产后核实能效水平及能源消费量，完善节能验收报告相关内容后重新提交。</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26</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苏州仕净科技股份有限公司济源分公司年减排万吨级CO</w:t>
            </w:r>
            <w:r>
              <w:rPr>
                <w:rFonts w:eastAsia="仿宋_GB2312" w:cs="仿宋_GB2312"/>
                <w:sz w:val="21"/>
                <w:szCs w:val="21"/>
                <w:vertAlign w:val="subscript"/>
              </w:rPr>
              <w:t>2</w:t>
            </w:r>
            <w:r>
              <w:rPr>
                <w:rFonts w:eastAsia="仿宋_GB2312" w:cs="仿宋_GB2312"/>
                <w:sz w:val="21"/>
                <w:szCs w:val="21"/>
              </w:rPr>
              <w:t>和钢渣资源化利用项目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建设内容发生重大变动；2.主要用能设备选型为3级能效电机，变压器为SCB11系列低效变压器，不符合节能报告提出的一级能效设备选型要求；3.计量器具配备数量不足，不符合《用能单位能源计量器具配备和管理通则》配备率要求；4.未编制节能验收报告；5.非正常生产，企业没有对能耗及产量数据进行统计。</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上报节能审查主管部门相关情况；2.限期整改，完善设备及变压器配置；3.限期整改，完善计量器具配备；4.限期整改，编制节能验收报告报送节能审查主管部门；5.正常生产后核实能效水平及能源消费量，完善节能验收报告相关内容。</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27</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济源海中环保科技有限责任公司利用水泥窑协同处置一般固废危废项目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计量器具配备不齐，不符合《用能单位能源计量器具配备和管理通则》配备率要求。</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限期整改，完善计量器具配备。</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28</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济源杭氧万洋气体有限公司10000Nm3/h（氧）空分设备建设项目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节能报告提出的太阳能光伏发电节能措施未落实，不符合节能审查批复意见中第三条：“项目建设单位应严格执行相关节能标准和规范，严格落实项目节能报告和评审阶段所提出的各项节能措施。”</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限期整改，完善节能措施。</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29</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济源市国泰再生资源有限公司废钢再生资源项目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变压器实际为S11系列低效变压器，不符合节能报告S22一级能效变压器选型要求。</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限期整改，完善变压器配置。</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30</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河南联创净水科技有限公司年产30万吨聚氯化铝、5万吨聚合硫酸铁项目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设备台账无电动机型号，现场核查电动机铭牌均已腐蚀，不能识别电机型号；2.变压器实际为SCB10系列低效变压器；3.节能管理制度内容比较简单，不符合节能审查批复意见中第五条“项目建成后，要切实加强节能管理。根据《能源管理体系要求》、《工业企业能源管理导则》等建立健全能源管理体系”；4.计量器具配备不齐，不符合《用能单位能源计量器具配备和管理通则》配备率要求；5.能效指标高于节能审查意见批复值。</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限期整改：1.完善设备台账；2.完善变压器配置；3.完善节能管理；4.完善计量器具配备；5.制定节能计划，提高能效水平。</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31</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济源市显扬金属科技有限公司年资源化利用6600吨废催化剂项目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建设内容有重大变动；2.发现一台淘汰落后设备（压球机电机-Y2系列电机），发现4台YB3低效电机，不符合节能报告提出的设备选型要求，以及节能审查批复意见中第四条“项目要选用高效节能设备”要求；3.计量器具配备不齐，不符合《用能单位能源计量器具配备和管理通则》配备率要求；4.非正常生产，企业没有对能耗及产量数据进行统计，不能核实能效水平及年综合能源消费量情况。</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1.上报节能审查主管部门相关情况；2.限期整改，完善设备配置；3.限期整改，完善计量器具配备；4.正常生产后核实能效水平及能源消费量，完善节能验收报告相关内容后重新提交。</w:t>
            </w:r>
          </w:p>
        </w:tc>
      </w:tr>
      <w:tr>
        <w:tblPrEx>
          <w:tblCellMar>
            <w:top w:w="15" w:type="dxa"/>
            <w:left w:w="15" w:type="dxa"/>
            <w:bottom w:w="15" w:type="dxa"/>
            <w:right w:w="15" w:type="dxa"/>
          </w:tblCellMar>
        </w:tblPrEx>
        <w:trPr>
          <w:cantSplit/>
          <w:trHeight w:val="4103"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32</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河南海博瑞硅材料科技有限公司20万吨/年特种功能纳米二氧化硅项目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电动机达不到一级能效，现场发现4台淘汰落后设备（包装风机电机Y132S1-2-5.5kW），不符合节能报告提出的一级能效设备选型要求；2.未提供变压器型号，不能落实变压器选型是否符合要求；3.节能管理制度内容比较简单，不符合节能审查批复意见中第五条“项目建成后，要切实加强节能管理。根据《能源管理体系要求》、《工业企业能源管理导则》等建立健全能源管理体系”；4.计量器具配备不齐，不符合《用能单位能源计量器具配备和管理通则》配备率要求；5.单位产品能耗指标高于节能审查意见批复值。</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限期整改：1.完善设备配置；2.完善变压器配置；3.完善节能管理；4.完善计量器具配备；5.制定节能计划，提高能效水平。</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33</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河南豫光锌业有限公司贵金属光电材料项目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项目还在建设期。</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198" w:firstLineChars="100"/>
              <w:rPr>
                <w:rFonts w:hint="default" w:eastAsia="仿宋_GB2312" w:cs="仿宋_GB2312"/>
                <w:sz w:val="21"/>
                <w:szCs w:val="21"/>
              </w:rPr>
            </w:pPr>
            <w:r>
              <w:rPr>
                <w:rFonts w:eastAsia="仿宋_GB2312" w:cs="仿宋_GB2312"/>
                <w:spacing w:val="-6"/>
                <w:sz w:val="21"/>
                <w:szCs w:val="21"/>
              </w:rPr>
              <w:t>项目投入生产、使用前，建设单位对节能审查意见落实情况进行验收，并报送主管部门</w:t>
            </w:r>
            <w:r>
              <w:rPr>
                <w:rFonts w:eastAsia="仿宋_GB2312" w:cs="仿宋_GB2312"/>
                <w:sz w:val="21"/>
                <w:szCs w:val="21"/>
              </w:rPr>
              <w:t>。</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34</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河南豫光锌业有限公司含锌二次资源综合利用工程项目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项目还在建设期。</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项目投入生产、使用前，建设单位对节能审查意见落实情况进行验收，并报送主管部门。</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35</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济源市中辰环境科技有限公司济源市工业废弃物综合处置中心项目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节能管理制度内容比较简单，不符合节能审查批复意见中第五条“项目建成后，要切实加强节能管理。根据《能源管理体系要求》、《工业企业能源管理导则》等建立健全能源管理体系”；2.非正常生产，厂区内大部分危废处理装置没有运行，不能核实能效水平及年综合能源消费量情况。</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1.限期整改，完善节能管理；2.正常生产后核实能效水平及能源消费量，完善节能验收报告相关内容后重新提交。</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36</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济源市丰田肥业有限公司生物质锅炉替代燃气锅炉项目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jc w:val="center"/>
              <w:rPr>
                <w:rFonts w:hint="default" w:eastAsia="仿宋_GB2312" w:cs="仿宋_GB2312"/>
                <w:sz w:val="21"/>
                <w:szCs w:val="21"/>
              </w:rPr>
            </w:pPr>
            <w:r>
              <w:rPr>
                <w:rFonts w:eastAsia="仿宋_GB2312" w:cs="仿宋_GB2312"/>
                <w:sz w:val="21"/>
                <w:szCs w:val="21"/>
              </w:rPr>
              <w:t>/</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jc w:val="center"/>
              <w:rPr>
                <w:rFonts w:hint="default" w:eastAsia="仿宋_GB2312" w:cs="仿宋_GB2312"/>
                <w:sz w:val="21"/>
                <w:szCs w:val="21"/>
              </w:rPr>
            </w:pPr>
            <w:r>
              <w:rPr>
                <w:rFonts w:eastAsia="仿宋_GB2312" w:cs="仿宋_GB2312"/>
                <w:sz w:val="21"/>
                <w:szCs w:val="21"/>
              </w:rPr>
              <w:t>/</w:t>
            </w:r>
          </w:p>
        </w:tc>
      </w:tr>
      <w:tr>
        <w:tblPrEx>
          <w:tblCellMar>
            <w:top w:w="15" w:type="dxa"/>
            <w:left w:w="15" w:type="dxa"/>
            <w:bottom w:w="15" w:type="dxa"/>
            <w:right w:w="15" w:type="dxa"/>
          </w:tblCellMar>
        </w:tblPrEx>
        <w:trPr>
          <w:cantSplit/>
          <w:trHeight w:val="454"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left="0"/>
              <w:jc w:val="center"/>
              <w:rPr>
                <w:rFonts w:hint="default" w:eastAsia="仿宋_GB2312" w:cs="仿宋_GB2312"/>
                <w:sz w:val="21"/>
                <w:szCs w:val="21"/>
              </w:rPr>
            </w:pPr>
            <w:r>
              <w:rPr>
                <w:rFonts w:eastAsia="仿宋_GB2312" w:cs="仿宋_GB2312"/>
                <w:sz w:val="21"/>
                <w:szCs w:val="21"/>
              </w:rPr>
              <w:t>37</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济源市恒信瓷业有限公司年加工6000吨煅烧氧化铝及3000吨氧化铝造粒粉项目</w:t>
            </w:r>
          </w:p>
        </w:tc>
        <w:tc>
          <w:tcPr>
            <w:tcW w:w="4317"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1.主要用能设备为YE3系列3级能效电机，不符合节能报告提出的“主要耗能电机设备采购选用YE4系列2级及以上能效标识的节能高效电机型号”选型要求；2.变压器为S11-400kVA低效变压器，不符合节能报告提出的一级能效变压器选型要求；3.现场发现3台小试验设备电机、利旧的两台磨机、装车卸车混料机电机均为Y系列淘汰落后设备；4.单位产品能耗指标高于节能审查批复值。</w:t>
            </w:r>
          </w:p>
        </w:tc>
        <w:tc>
          <w:tcPr>
            <w:tcW w:w="2082" w:type="dxa"/>
            <w:tcBorders>
              <w:top w:val="single" w:color="auto" w:sz="4" w:space="0"/>
              <w:left w:val="single" w:color="auto" w:sz="4" w:space="0"/>
              <w:bottom w:val="single" w:color="auto" w:sz="4" w:space="0"/>
              <w:right w:val="single" w:color="auto" w:sz="4" w:space="0"/>
            </w:tcBorders>
            <w:vAlign w:val="center"/>
          </w:tcPr>
          <w:p>
            <w:pPr>
              <w:pStyle w:val="2"/>
              <w:autoSpaceDE/>
              <w:autoSpaceDN/>
              <w:spacing w:before="0" w:line="300" w:lineRule="exact"/>
              <w:ind w:firstLine="210" w:firstLineChars="100"/>
              <w:rPr>
                <w:rFonts w:hint="default" w:eastAsia="仿宋_GB2312" w:cs="仿宋_GB2312"/>
                <w:sz w:val="21"/>
                <w:szCs w:val="21"/>
              </w:rPr>
            </w:pPr>
            <w:r>
              <w:rPr>
                <w:rFonts w:eastAsia="仿宋_GB2312" w:cs="仿宋_GB2312"/>
                <w:sz w:val="21"/>
                <w:szCs w:val="21"/>
              </w:rPr>
              <w:t>限期整改：1.完善设备配置；2.完善变压器配置；3.更换或移出淘汰落后设备；4.制定节能计划，提高能效水平。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ZjExYjIyMmNjYjQwYWU4OWIyMjIzYWNiZmY1MWYifQ=="/>
  </w:docVars>
  <w:rsids>
    <w:rsidRoot w:val="00000000"/>
    <w:rsid w:val="21920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autoSpaceDE w:val="0"/>
      <w:autoSpaceDN w:val="0"/>
      <w:adjustRightInd w:val="0"/>
      <w:spacing w:before="50"/>
      <w:ind w:left="118"/>
      <w:jc w:val="left"/>
    </w:pPr>
    <w:rPr>
      <w:rFonts w:hint="eastAsia" w:ascii="宋体" w:hAnsi="宋体" w:eastAsia="宋体" w:cs="Times New Roman"/>
      <w:kern w:val="0"/>
      <w:sz w:val="1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2024-01-03T09:13:46Z</dcterms:created>
  <dc:creator>Administrator</dc:creator>
  <cp:lastModifiedBy>L施冉</cp:lastModifiedBy>
  <dcterms:modified xsi:type="dcterms:W3CDTF">2024-01-03T09:13:59Z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72F8BB646AB24AD5AEDCE749A4DBFE92_12</vt:lpwstr>
  </property>
</Properties>
</file>